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381CF9F"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8B5422">
        <w:t>6</w:t>
      </w:r>
      <w:r w:rsidR="00331EE3">
        <w:t>-e</w:t>
      </w:r>
      <w:r w:rsidRPr="009F0E8D">
        <w:tab/>
      </w:r>
      <w:r w:rsidR="00D46431" w:rsidRPr="009F0E8D">
        <w:tab/>
      </w:r>
      <w:r w:rsidR="00245F6C" w:rsidRPr="00245F6C">
        <w:t>R4-2009952</w:t>
      </w:r>
    </w:p>
    <w:p w14:paraId="50DC9730" w14:textId="6607EDAF" w:rsidR="00D309CC" w:rsidRPr="00FD166F" w:rsidRDefault="00855D88" w:rsidP="00D46431">
      <w:pPr>
        <w:pStyle w:val="CH"/>
        <w:tabs>
          <w:tab w:val="clear" w:pos="7920"/>
        </w:tabs>
        <w:rPr>
          <w:b w:val="0"/>
        </w:rPr>
      </w:pPr>
      <w:r w:rsidRPr="00AD1007">
        <w:t xml:space="preserve">Electronic meeting, </w:t>
      </w:r>
      <w:r w:rsidR="008B5422">
        <w:t>17</w:t>
      </w:r>
      <w:r w:rsidR="008B5422" w:rsidRPr="00B765D3">
        <w:t xml:space="preserve">th – </w:t>
      </w:r>
      <w:r w:rsidR="008B5422">
        <w:t>28</w:t>
      </w:r>
      <w:r w:rsidR="008B5422" w:rsidRPr="00B765D3">
        <w:t xml:space="preserve">th </w:t>
      </w:r>
      <w:r w:rsidR="008B5422">
        <w:t>August</w:t>
      </w:r>
      <w:r w:rsidR="008B5422" w:rsidRPr="00B765D3">
        <w:t xml:space="preserv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04D9480B" w:rsidR="00D309CC" w:rsidRPr="0008103A" w:rsidRDefault="00D309CC" w:rsidP="00D309CC">
      <w:pPr>
        <w:pStyle w:val="CH"/>
        <w:rPr>
          <w:b w:val="0"/>
        </w:rPr>
      </w:pPr>
      <w:r w:rsidRPr="0008103A">
        <w:t>Agenda item:</w:t>
      </w:r>
      <w:r>
        <w:tab/>
      </w:r>
      <w:r w:rsidR="00245F6C">
        <w:t>9.2.2</w:t>
      </w:r>
    </w:p>
    <w:p w14:paraId="4DBE005A" w14:textId="77777777" w:rsidR="00D309CC" w:rsidRPr="0008103A" w:rsidRDefault="00D309CC" w:rsidP="00D309CC">
      <w:pPr>
        <w:pStyle w:val="CH"/>
        <w:rPr>
          <w:b w:val="0"/>
        </w:rPr>
      </w:pPr>
      <w:r>
        <w:t>Source:</w:t>
      </w:r>
      <w:r>
        <w:tab/>
        <w:t>Apple Inc.</w:t>
      </w:r>
    </w:p>
    <w:p w14:paraId="0D2061A1" w14:textId="1FBC0A85" w:rsidR="00D309CC" w:rsidRDefault="00D309CC" w:rsidP="005619F8">
      <w:pPr>
        <w:pStyle w:val="CH"/>
        <w:ind w:left="2268" w:hanging="2268"/>
      </w:pPr>
      <w:r w:rsidRPr="0008103A">
        <w:t>Title:</w:t>
      </w:r>
      <w:r w:rsidRPr="0008103A">
        <w:tab/>
      </w:r>
      <w:r w:rsidR="00245F6C" w:rsidRPr="00245F6C">
        <w:t>Applicability of P-MPR to EN-DC PC2</w:t>
      </w:r>
    </w:p>
    <w:p w14:paraId="052B1E0C" w14:textId="00423455" w:rsidR="00104BC6" w:rsidRDefault="00104BC6" w:rsidP="00D309CC">
      <w:pPr>
        <w:pStyle w:val="CH"/>
      </w:pPr>
      <w:r>
        <w:t>WI/SI:</w:t>
      </w:r>
      <w:r>
        <w:tab/>
      </w:r>
      <w:r w:rsidR="00245F6C" w:rsidRPr="00245F6C">
        <w:rPr>
          <w:lang w:val="en-US"/>
        </w:rPr>
        <w:t>ENDC_UE_PC2_FDD_TDD-Core</w:t>
      </w:r>
    </w:p>
    <w:p w14:paraId="6C6D1281" w14:textId="19CCFEF1" w:rsidR="00104BC6" w:rsidRDefault="00104BC6" w:rsidP="00D309CC">
      <w:pPr>
        <w:pStyle w:val="CH"/>
        <w:rPr>
          <w:b w:val="0"/>
        </w:rPr>
      </w:pPr>
      <w:r>
        <w:t>Release:</w:t>
      </w:r>
      <w:r>
        <w:tab/>
      </w:r>
      <w:r w:rsidRPr="001729FA">
        <w:t>Rel-</w:t>
      </w:r>
      <w:r w:rsidR="001729FA" w:rsidRPr="001729FA">
        <w:t>1</w:t>
      </w:r>
      <w:r w:rsidR="00245F6C">
        <w:t>6</w:t>
      </w:r>
    </w:p>
    <w:p w14:paraId="2E4E044D" w14:textId="7281674C" w:rsidR="00D309CC" w:rsidRDefault="00D309CC" w:rsidP="00D309CC">
      <w:pPr>
        <w:pStyle w:val="CH"/>
      </w:pPr>
      <w:r>
        <w:t>Document for:</w:t>
      </w:r>
      <w:r>
        <w:tab/>
      </w:r>
      <w:r w:rsidR="00081771">
        <w:t>Discussion</w:t>
      </w:r>
    </w:p>
    <w:p w14:paraId="0207DB43" w14:textId="77777777" w:rsidR="00D46431" w:rsidRPr="0008103A" w:rsidRDefault="00D46431" w:rsidP="00D309CC">
      <w:pPr>
        <w:pStyle w:val="CH"/>
        <w:rPr>
          <w:b w:val="0"/>
        </w:rPr>
      </w:pPr>
    </w:p>
    <w:p w14:paraId="0273524A" w14:textId="1EFA53F2" w:rsidR="008E7986" w:rsidRPr="004D3578" w:rsidRDefault="008E7986" w:rsidP="008E7986">
      <w:pPr>
        <w:pStyle w:val="Heading1"/>
      </w:pPr>
      <w:r>
        <w:t>1</w:t>
      </w:r>
      <w:r>
        <w:tab/>
      </w:r>
      <w:r w:rsidRPr="004D3578">
        <w:t>Introduction</w:t>
      </w:r>
    </w:p>
    <w:p w14:paraId="6FCA7FDF" w14:textId="21643968" w:rsidR="00AD5712" w:rsidRDefault="00AA55CB" w:rsidP="008E7986">
      <w:r>
        <w:t xml:space="preserve">With the work item on EN-DC PC2 FDD-TDD </w:t>
      </w:r>
      <w:r>
        <w:fldChar w:fldCharType="begin"/>
      </w:r>
      <w:r>
        <w:instrText xml:space="preserve"> REF _Ref47679018 \r \h </w:instrText>
      </w:r>
      <w:r>
        <w:fldChar w:fldCharType="separate"/>
      </w:r>
      <w:r w:rsidR="00975B25">
        <w:t>[1]</w:t>
      </w:r>
      <w:r>
        <w:fldChar w:fldCharType="end"/>
      </w:r>
      <w:r>
        <w:t xml:space="preserve"> is making progress, an exception sheet was approved during the RAN #88e meeting with the following scope </w:t>
      </w:r>
      <w:r>
        <w:fldChar w:fldCharType="begin"/>
      </w:r>
      <w:r>
        <w:instrText xml:space="preserve"> REF _Ref47679051 \r \h </w:instrText>
      </w:r>
      <w:r>
        <w:fldChar w:fldCharType="separate"/>
      </w:r>
      <w:r w:rsidR="00975B25">
        <w:t>[2]</w:t>
      </w:r>
      <w:r>
        <w:fldChar w:fldCharType="end"/>
      </w:r>
      <w:r>
        <w:t>:</w:t>
      </w:r>
    </w:p>
    <w:tbl>
      <w:tblPr>
        <w:tblStyle w:val="TableGrid"/>
        <w:tblW w:w="0" w:type="auto"/>
        <w:tblLook w:val="04A0" w:firstRow="1" w:lastRow="0" w:firstColumn="1" w:lastColumn="0" w:noHBand="0" w:noVBand="1"/>
      </w:tblPr>
      <w:tblGrid>
        <w:gridCol w:w="9631"/>
      </w:tblGrid>
      <w:tr w:rsidR="00AA55CB" w14:paraId="70D7CAB4" w14:textId="77777777" w:rsidTr="00AA55CB">
        <w:tc>
          <w:tcPr>
            <w:tcW w:w="9631" w:type="dxa"/>
          </w:tcPr>
          <w:p w14:paraId="3EB38EDA" w14:textId="15AE0118" w:rsidR="00AA55CB" w:rsidRPr="00AA55CB" w:rsidRDefault="00AA55CB" w:rsidP="00AA55CB">
            <w:pPr>
              <w:pStyle w:val="Index1"/>
              <w:rPr>
                <w:bCs/>
                <w:sz w:val="16"/>
                <w:szCs w:val="16"/>
                <w:lang w:eastAsia="zh-CN"/>
              </w:rPr>
            </w:pPr>
            <w:r w:rsidRPr="00AA55CB">
              <w:rPr>
                <w:rFonts w:hint="eastAsia"/>
                <w:bCs/>
                <w:sz w:val="16"/>
                <w:szCs w:val="16"/>
                <w:lang w:eastAsia="zh-CN"/>
              </w:rPr>
              <w:t>A</w:t>
            </w:r>
            <w:r w:rsidRPr="00AA55CB">
              <w:rPr>
                <w:bCs/>
                <w:sz w:val="16"/>
                <w:szCs w:val="16"/>
                <w:lang w:eastAsia="zh-CN"/>
              </w:rPr>
              <w:t>s specified in approved WF R4-2008907 in RAN4-95e meeting, three issues are still open, where Option 1 in each issue received majority support:</w:t>
            </w:r>
          </w:p>
          <w:p w14:paraId="097C0B61" w14:textId="77777777" w:rsidR="00AA55CB" w:rsidRPr="00AA55CB" w:rsidRDefault="00AA55CB" w:rsidP="00AA55CB">
            <w:pPr>
              <w:pStyle w:val="Index1"/>
              <w:numPr>
                <w:ilvl w:val="0"/>
                <w:numId w:val="9"/>
              </w:numPr>
              <w:rPr>
                <w:bCs/>
                <w:sz w:val="16"/>
                <w:szCs w:val="16"/>
                <w:lang w:eastAsia="zh-CN"/>
              </w:rPr>
            </w:pPr>
            <w:r w:rsidRPr="00AA55CB">
              <w:rPr>
                <w:bCs/>
                <w:sz w:val="16"/>
                <w:szCs w:val="16"/>
                <w:lang w:eastAsia="zh-CN"/>
              </w:rPr>
              <w:t>Issues on “blind” scheme (scheme of reducing LTE FDD power):</w:t>
            </w:r>
          </w:p>
          <w:p w14:paraId="76CD34F8"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1:  Not to include “blind” scheme at current stage. </w:t>
            </w:r>
          </w:p>
          <w:p w14:paraId="3975F8CB"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2: Introduce the “blind” scheme as the baseline. </w:t>
            </w:r>
          </w:p>
          <w:p w14:paraId="7DD65065"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3: Introduce a new item in UE signalling to indicate if “Reduce_FDD_power” is supported. </w:t>
            </w:r>
          </w:p>
          <w:p w14:paraId="56BCF90A" w14:textId="4F6CB1BC" w:rsidR="00AA55CB" w:rsidRPr="00AA55CB" w:rsidRDefault="00AA55CB" w:rsidP="00AA55CB">
            <w:pPr>
              <w:pStyle w:val="Index1"/>
              <w:ind w:left="360"/>
              <w:rPr>
                <w:bCs/>
                <w:sz w:val="16"/>
                <w:szCs w:val="16"/>
                <w:lang w:eastAsia="zh-CN"/>
              </w:rPr>
            </w:pPr>
            <w:r w:rsidRPr="00AA55CB">
              <w:rPr>
                <w:bCs/>
                <w:sz w:val="16"/>
                <w:szCs w:val="16"/>
                <w:lang w:eastAsia="zh-CN"/>
              </w:rPr>
              <w:t>Option 4: Introduce “blind” scheme as an option, and UE-based SAR management described in R4-2006654 as the default UE behaviour baseline.</w:t>
            </w:r>
          </w:p>
          <w:p w14:paraId="2AAADB96" w14:textId="77777777" w:rsidR="00AA55CB" w:rsidRPr="00AA55CB" w:rsidRDefault="00AA55CB" w:rsidP="00AA55CB">
            <w:pPr>
              <w:pStyle w:val="Index1"/>
              <w:numPr>
                <w:ilvl w:val="0"/>
                <w:numId w:val="9"/>
              </w:numPr>
              <w:rPr>
                <w:bCs/>
                <w:sz w:val="16"/>
                <w:szCs w:val="16"/>
                <w:lang w:eastAsia="zh-CN"/>
              </w:rPr>
            </w:pPr>
            <w:r w:rsidRPr="00AA55CB">
              <w:rPr>
                <w:bCs/>
                <w:sz w:val="16"/>
                <w:szCs w:val="16"/>
                <w:lang w:eastAsia="zh-CN"/>
              </w:rPr>
              <w:t>Choosing “default value” or “blind scheme” when capability parameters are absent:</w:t>
            </w:r>
          </w:p>
          <w:p w14:paraId="77B6D2FE"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1: Using default value of maxNRDuty for two cases of LTE and NR power combination </w:t>
            </w:r>
          </w:p>
          <w:p w14:paraId="3BC961BF"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2: Following “blind” scheme by reduced power (PLTE) and use of the common UL-DL patterns on the TDD CG </w:t>
            </w:r>
          </w:p>
          <w:p w14:paraId="37B79F73" w14:textId="77777777" w:rsidR="00AA55CB" w:rsidRPr="00AA55CB" w:rsidRDefault="00AA55CB" w:rsidP="00AA55CB">
            <w:pPr>
              <w:pStyle w:val="Index1"/>
              <w:ind w:left="360"/>
              <w:rPr>
                <w:bCs/>
                <w:sz w:val="16"/>
                <w:szCs w:val="16"/>
                <w:lang w:eastAsia="zh-CN"/>
              </w:rPr>
            </w:pPr>
            <w:r w:rsidRPr="00AA55CB">
              <w:rPr>
                <w:bCs/>
                <w:sz w:val="16"/>
                <w:szCs w:val="16"/>
                <w:lang w:eastAsia="zh-CN"/>
              </w:rPr>
              <w:t>Option 3: Assume “Full duty support” when capability parameters are missing</w:t>
            </w:r>
          </w:p>
          <w:p w14:paraId="5A43B3A6" w14:textId="17EB6618" w:rsidR="00AA55CB" w:rsidRPr="00AA55CB" w:rsidRDefault="00AA55CB" w:rsidP="00AA55CB">
            <w:pPr>
              <w:pStyle w:val="Index1"/>
              <w:ind w:left="360"/>
              <w:rPr>
                <w:bCs/>
                <w:sz w:val="16"/>
                <w:szCs w:val="16"/>
                <w:lang w:eastAsia="zh-CN"/>
              </w:rPr>
            </w:pPr>
            <w:r w:rsidRPr="00AA55CB">
              <w:rPr>
                <w:bCs/>
                <w:sz w:val="16"/>
                <w:szCs w:val="16"/>
                <w:lang w:eastAsia="zh-CN"/>
              </w:rPr>
              <w:t>Option 4: Assume “UE-based” SAR management when capability parameters are absent.</w:t>
            </w:r>
          </w:p>
          <w:p w14:paraId="724FDD17" w14:textId="77777777" w:rsidR="00AA55CB" w:rsidRPr="00AA55CB" w:rsidRDefault="00AA55CB" w:rsidP="00AA55CB">
            <w:pPr>
              <w:pStyle w:val="Index1"/>
              <w:numPr>
                <w:ilvl w:val="0"/>
                <w:numId w:val="9"/>
              </w:numPr>
              <w:rPr>
                <w:bCs/>
                <w:sz w:val="16"/>
                <w:szCs w:val="16"/>
                <w:lang w:eastAsia="zh-CN"/>
              </w:rPr>
            </w:pPr>
            <w:r w:rsidRPr="00AA55CB">
              <w:rPr>
                <w:bCs/>
                <w:sz w:val="16"/>
                <w:szCs w:val="16"/>
                <w:lang w:eastAsia="zh-CN"/>
              </w:rPr>
              <w:t>Choosing “PC fallback” or “blind scheme” when the UL EN-DC scheduling exceeds the UE capability:</w:t>
            </w:r>
          </w:p>
          <w:p w14:paraId="7CE1A9DF" w14:textId="77777777" w:rsidR="00AA55CB" w:rsidRPr="00AA55CB" w:rsidRDefault="00AA55CB" w:rsidP="00AA55CB">
            <w:pPr>
              <w:pStyle w:val="Index1"/>
              <w:ind w:left="360"/>
              <w:rPr>
                <w:bCs/>
                <w:sz w:val="16"/>
                <w:szCs w:val="16"/>
                <w:lang w:eastAsia="zh-CN"/>
              </w:rPr>
            </w:pPr>
            <w:r w:rsidRPr="00AA55CB">
              <w:rPr>
                <w:bCs/>
                <w:sz w:val="16"/>
                <w:szCs w:val="16"/>
                <w:lang w:eastAsia="zh-CN"/>
              </w:rPr>
              <w:t>Option 1: UE should fallback to PC3</w:t>
            </w:r>
          </w:p>
          <w:p w14:paraId="783ECD37" w14:textId="77777777" w:rsidR="00AA55CB" w:rsidRPr="00AA55CB" w:rsidRDefault="00AA55CB" w:rsidP="00AA55CB">
            <w:pPr>
              <w:pStyle w:val="Index1"/>
              <w:ind w:left="360"/>
              <w:rPr>
                <w:bCs/>
                <w:sz w:val="16"/>
                <w:szCs w:val="16"/>
                <w:lang w:eastAsia="zh-CN"/>
              </w:rPr>
            </w:pPr>
            <w:r w:rsidRPr="00AA55CB">
              <w:rPr>
                <w:bCs/>
                <w:sz w:val="16"/>
                <w:szCs w:val="16"/>
                <w:lang w:eastAsia="zh-CN"/>
              </w:rPr>
              <w:t xml:space="preserve">Option 2: “Blind” scheme should be followed </w:t>
            </w:r>
          </w:p>
          <w:p w14:paraId="1C53A4E7" w14:textId="77777777" w:rsidR="00AA55CB" w:rsidRPr="00AA55CB" w:rsidRDefault="00AA55CB" w:rsidP="00AA55CB">
            <w:pPr>
              <w:pStyle w:val="Index1"/>
              <w:ind w:left="360"/>
              <w:rPr>
                <w:bCs/>
                <w:sz w:val="16"/>
                <w:szCs w:val="16"/>
                <w:lang w:eastAsia="zh-CN"/>
              </w:rPr>
            </w:pPr>
            <w:r w:rsidRPr="00AA55CB">
              <w:rPr>
                <w:bCs/>
                <w:sz w:val="16"/>
                <w:szCs w:val="16"/>
                <w:lang w:eastAsia="zh-CN"/>
              </w:rPr>
              <w:t>Option 3:UEs fallback to PC3 when UL EN-DC scheduling exceeds the UE capability, but add a conditional statement for 100% UL percentage with an upper limit of the UL power setting on the LTE side for each fixed LTE reference configuration.</w:t>
            </w:r>
          </w:p>
          <w:p w14:paraId="1D58C059" w14:textId="5BE5B06C" w:rsidR="00AA55CB" w:rsidRPr="00AA55CB" w:rsidRDefault="00AA55CB" w:rsidP="00AA55CB">
            <w:pPr>
              <w:pStyle w:val="Index1"/>
              <w:ind w:left="360"/>
              <w:rPr>
                <w:bCs/>
                <w:lang w:eastAsia="zh-CN"/>
              </w:rPr>
            </w:pPr>
            <w:r w:rsidRPr="00AA55CB">
              <w:rPr>
                <w:bCs/>
                <w:sz w:val="16"/>
                <w:szCs w:val="16"/>
                <w:lang w:eastAsia="zh-CN"/>
              </w:rPr>
              <w:t>Option 4: UE-based scheme followed when the UL EN-DC scheduling exceeds the UE capability.</w:t>
            </w:r>
          </w:p>
        </w:tc>
      </w:tr>
    </w:tbl>
    <w:p w14:paraId="4EA1BC52" w14:textId="2DC27506" w:rsidR="00AA55CB" w:rsidRDefault="00AA55CB" w:rsidP="008E7986"/>
    <w:p w14:paraId="18103BDA" w14:textId="6748965F" w:rsidR="00AA55CB" w:rsidRDefault="00AA55CB" w:rsidP="008E7986">
      <w:r>
        <w:t xml:space="preserve">A discussion during RAN regarding the proposal to further narrow the scope in </w:t>
      </w:r>
      <w:r>
        <w:fldChar w:fldCharType="begin"/>
      </w:r>
      <w:r>
        <w:instrText xml:space="preserve"> REF _Ref47679144 \r \h </w:instrText>
      </w:r>
      <w:r>
        <w:fldChar w:fldCharType="separate"/>
      </w:r>
      <w:r w:rsidR="00975B25">
        <w:t>[3]</w:t>
      </w:r>
      <w:r>
        <w:fldChar w:fldCharType="end"/>
      </w:r>
      <w:r>
        <w:t xml:space="preserve"> did not converge, and the WF was not approved.</w:t>
      </w:r>
      <w:r w:rsidR="007D441F">
        <w:t xml:space="preserve">  A contribution on the applicability of P-MPR as the baseline solution also provided useful context </w:t>
      </w:r>
      <w:r w:rsidR="007D441F">
        <w:fldChar w:fldCharType="begin"/>
      </w:r>
      <w:r w:rsidR="007D441F">
        <w:instrText xml:space="preserve"> REF _Ref47680621 \r \h </w:instrText>
      </w:r>
      <w:r w:rsidR="007D441F">
        <w:fldChar w:fldCharType="separate"/>
      </w:r>
      <w:r w:rsidR="00975B25">
        <w:t>[4]</w:t>
      </w:r>
      <w:r w:rsidR="007D441F">
        <w:fldChar w:fldCharType="end"/>
      </w:r>
      <w:r w:rsidR="007D441F">
        <w:t>.</w:t>
      </w:r>
    </w:p>
    <w:p w14:paraId="110A4BED" w14:textId="2122CACA" w:rsidR="00AA55CB" w:rsidRDefault="00AA55CB" w:rsidP="008E7986">
      <w:r>
        <w:t>This contribution shares our views on the applicability of P-MPR as the method which is available to the UE to comply with SAR regulation and recommends a baseline solution, which is sufficient to conclude the work item.</w:t>
      </w:r>
    </w:p>
    <w:p w14:paraId="3A67921B" w14:textId="6C603DF9" w:rsidR="008E7986" w:rsidRDefault="008E7986" w:rsidP="008E7986">
      <w:pPr>
        <w:pStyle w:val="Heading1"/>
      </w:pPr>
      <w:r>
        <w:t>2</w:t>
      </w:r>
      <w:r>
        <w:tab/>
      </w:r>
      <w:r w:rsidR="000C5869">
        <w:t>Discussion</w:t>
      </w:r>
    </w:p>
    <w:p w14:paraId="63E4E878" w14:textId="0FDA939D" w:rsidR="000F7550" w:rsidRDefault="00D765C7" w:rsidP="000F7550">
      <w:r>
        <w:t xml:space="preserve">TS38.101-1 defines the configured power requirements for Pcmax </w:t>
      </w:r>
      <w:r w:rsidR="001708A8">
        <w:t>in accordance with power class capability, network-signaled adjustments and parameters, and allowed power reduction parameters.  One of these power reduction parameters is P-MPR, which is defined in the following way:</w:t>
      </w:r>
    </w:p>
    <w:tbl>
      <w:tblPr>
        <w:tblStyle w:val="TableGrid"/>
        <w:tblW w:w="0" w:type="auto"/>
        <w:tblLook w:val="04A0" w:firstRow="1" w:lastRow="0" w:firstColumn="1" w:lastColumn="0" w:noHBand="0" w:noVBand="1"/>
      </w:tblPr>
      <w:tblGrid>
        <w:gridCol w:w="9631"/>
      </w:tblGrid>
      <w:tr w:rsidR="00D765C7" w14:paraId="5CF4DA90" w14:textId="77777777" w:rsidTr="00D765C7">
        <w:tc>
          <w:tcPr>
            <w:tcW w:w="9631" w:type="dxa"/>
          </w:tcPr>
          <w:p w14:paraId="705EF53D" w14:textId="77777777" w:rsidR="00D765C7" w:rsidRPr="00D765C7" w:rsidRDefault="00D765C7" w:rsidP="00D765C7">
            <w:pPr>
              <w:rPr>
                <w:sz w:val="16"/>
                <w:szCs w:val="16"/>
                <w:lang w:eastAsia="zh-CN"/>
              </w:rPr>
            </w:pPr>
            <w:r w:rsidRPr="00D765C7">
              <w:rPr>
                <w:sz w:val="16"/>
                <w:szCs w:val="16"/>
                <w:lang w:eastAsia="zh-CN"/>
              </w:rPr>
              <w:t>The UE is allowed to set its configured maximum output power P</w:t>
            </w:r>
            <w:r w:rsidRPr="00D765C7">
              <w:rPr>
                <w:sz w:val="16"/>
                <w:szCs w:val="16"/>
                <w:vertAlign w:val="subscript"/>
                <w:lang w:eastAsia="zh-CN"/>
              </w:rPr>
              <w:t>CMAX,f,c</w:t>
            </w:r>
            <w:r w:rsidRPr="00D765C7">
              <w:rPr>
                <w:sz w:val="16"/>
                <w:szCs w:val="16"/>
                <w:lang w:eastAsia="zh-CN"/>
              </w:rPr>
              <w:t xml:space="preserve"> for carrier f of serving cell c in each slot. The configured maximum output power P</w:t>
            </w:r>
            <w:r w:rsidRPr="00D765C7">
              <w:rPr>
                <w:sz w:val="16"/>
                <w:szCs w:val="16"/>
                <w:vertAlign w:val="subscript"/>
                <w:lang w:eastAsia="zh-CN"/>
              </w:rPr>
              <w:t>CMAX,f,c</w:t>
            </w:r>
            <w:r w:rsidRPr="00D765C7">
              <w:rPr>
                <w:sz w:val="16"/>
                <w:szCs w:val="16"/>
                <w:lang w:eastAsia="zh-CN"/>
              </w:rPr>
              <w:t xml:space="preserve"> is set within the following bounds:</w:t>
            </w:r>
          </w:p>
          <w:p w14:paraId="05F31C60" w14:textId="77777777" w:rsidR="00D765C7" w:rsidRPr="00D765C7" w:rsidRDefault="00D765C7" w:rsidP="00D765C7">
            <w:pPr>
              <w:pStyle w:val="EQ"/>
              <w:jc w:val="center"/>
              <w:rPr>
                <w:sz w:val="16"/>
                <w:szCs w:val="16"/>
                <w:lang w:eastAsia="zh-CN"/>
              </w:rPr>
            </w:pPr>
            <w:r w:rsidRPr="00D765C7">
              <w:rPr>
                <w:sz w:val="16"/>
                <w:szCs w:val="16"/>
                <w:lang w:eastAsia="zh-CN"/>
              </w:rPr>
              <w:t>P</w:t>
            </w:r>
            <w:r w:rsidRPr="00D765C7">
              <w:rPr>
                <w:sz w:val="16"/>
                <w:szCs w:val="16"/>
                <w:vertAlign w:val="subscript"/>
                <w:lang w:eastAsia="zh-CN"/>
              </w:rPr>
              <w:t>CMAX_L,f,c</w:t>
            </w:r>
            <w:r w:rsidRPr="00D765C7">
              <w:rPr>
                <w:sz w:val="16"/>
                <w:szCs w:val="16"/>
                <w:lang w:eastAsia="zh-CN"/>
              </w:rPr>
              <w:t xml:space="preserve"> ≤  P</w:t>
            </w:r>
            <w:r w:rsidRPr="00D765C7">
              <w:rPr>
                <w:sz w:val="16"/>
                <w:szCs w:val="16"/>
                <w:vertAlign w:val="subscript"/>
                <w:lang w:eastAsia="zh-CN"/>
              </w:rPr>
              <w:t>CMAX,f,c</w:t>
            </w:r>
            <w:r w:rsidRPr="00D765C7">
              <w:rPr>
                <w:sz w:val="16"/>
                <w:szCs w:val="16"/>
                <w:lang w:eastAsia="zh-CN"/>
              </w:rPr>
              <w:t xml:space="preserve">  ≤  P</w:t>
            </w:r>
            <w:r w:rsidRPr="00D765C7">
              <w:rPr>
                <w:sz w:val="16"/>
                <w:szCs w:val="16"/>
                <w:vertAlign w:val="subscript"/>
                <w:lang w:eastAsia="zh-CN"/>
              </w:rPr>
              <w:t>CMAX_H,f,c</w:t>
            </w:r>
            <w:r w:rsidRPr="00D765C7">
              <w:rPr>
                <w:sz w:val="16"/>
                <w:szCs w:val="16"/>
                <w:lang w:eastAsia="zh-CN"/>
              </w:rPr>
              <w:t xml:space="preserve"> with</w:t>
            </w:r>
          </w:p>
          <w:p w14:paraId="5A944D97" w14:textId="77777777" w:rsidR="00D765C7" w:rsidRPr="00D765C7" w:rsidRDefault="00D765C7" w:rsidP="00D765C7">
            <w:pPr>
              <w:pStyle w:val="EQ"/>
              <w:jc w:val="center"/>
              <w:rPr>
                <w:sz w:val="16"/>
                <w:szCs w:val="16"/>
                <w:lang w:eastAsia="zh-CN"/>
              </w:rPr>
            </w:pPr>
            <w:r w:rsidRPr="00D765C7">
              <w:rPr>
                <w:sz w:val="16"/>
                <w:szCs w:val="16"/>
                <w:lang w:eastAsia="zh-CN"/>
              </w:rPr>
              <w:tab/>
              <w:t>P</w:t>
            </w:r>
            <w:r w:rsidRPr="00D765C7">
              <w:rPr>
                <w:sz w:val="16"/>
                <w:szCs w:val="16"/>
                <w:vertAlign w:val="subscript"/>
                <w:lang w:eastAsia="zh-CN"/>
              </w:rPr>
              <w:t>CMAX_L,f,c</w:t>
            </w:r>
            <w:r w:rsidRPr="00D765C7">
              <w:rPr>
                <w:sz w:val="16"/>
                <w:szCs w:val="16"/>
                <w:lang w:eastAsia="zh-CN"/>
              </w:rPr>
              <w:t xml:space="preserve"> = MIN {P</w:t>
            </w:r>
            <w:r w:rsidRPr="00D765C7">
              <w:rPr>
                <w:sz w:val="16"/>
                <w:szCs w:val="16"/>
                <w:vertAlign w:val="subscript"/>
                <w:lang w:eastAsia="zh-CN"/>
              </w:rPr>
              <w:t>EMAX,c</w:t>
            </w:r>
            <w:r w:rsidRPr="00D765C7">
              <w:rPr>
                <w:sz w:val="16"/>
                <w:szCs w:val="16"/>
                <w:lang w:eastAsia="zh-CN"/>
              </w:rPr>
              <w:t>– ∆T</w:t>
            </w:r>
            <w:r w:rsidRPr="00D765C7">
              <w:rPr>
                <w:sz w:val="16"/>
                <w:szCs w:val="16"/>
                <w:vertAlign w:val="subscript"/>
                <w:lang w:eastAsia="zh-CN"/>
              </w:rPr>
              <w:t>C,c</w:t>
            </w:r>
            <w:r w:rsidRPr="00D765C7">
              <w:rPr>
                <w:sz w:val="16"/>
                <w:szCs w:val="16"/>
                <w:lang w:eastAsia="zh-CN"/>
              </w:rPr>
              <w:t>,  (P</w:t>
            </w:r>
            <w:r w:rsidRPr="00D765C7">
              <w:rPr>
                <w:sz w:val="16"/>
                <w:szCs w:val="16"/>
                <w:vertAlign w:val="subscript"/>
                <w:lang w:eastAsia="zh-CN"/>
              </w:rPr>
              <w:t>PowerClass</w:t>
            </w:r>
            <w:r w:rsidRPr="00D765C7">
              <w:rPr>
                <w:sz w:val="16"/>
                <w:szCs w:val="16"/>
                <w:lang w:eastAsia="zh-CN"/>
              </w:rPr>
              <w:t xml:space="preserve"> – ΔP</w:t>
            </w:r>
            <w:r w:rsidRPr="00D765C7">
              <w:rPr>
                <w:sz w:val="16"/>
                <w:szCs w:val="16"/>
                <w:vertAlign w:val="subscript"/>
                <w:lang w:eastAsia="zh-CN"/>
              </w:rPr>
              <w:t>PowerClass</w:t>
            </w:r>
            <w:r w:rsidRPr="00D765C7">
              <w:rPr>
                <w:sz w:val="16"/>
                <w:szCs w:val="16"/>
                <w:lang w:eastAsia="zh-CN"/>
              </w:rPr>
              <w:t>) – MAX(MAX(MPR</w:t>
            </w:r>
            <w:r w:rsidRPr="00D765C7">
              <w:rPr>
                <w:sz w:val="16"/>
                <w:szCs w:val="16"/>
                <w:vertAlign w:val="subscript"/>
                <w:lang w:eastAsia="zh-CN"/>
              </w:rPr>
              <w:t>c</w:t>
            </w:r>
            <w:r w:rsidRPr="00D765C7">
              <w:rPr>
                <w:sz w:val="16"/>
                <w:szCs w:val="16"/>
                <w:lang w:eastAsia="zh-CN"/>
              </w:rPr>
              <w:t>+∆MPR</w:t>
            </w:r>
            <w:r w:rsidRPr="00D765C7">
              <w:rPr>
                <w:sz w:val="16"/>
                <w:szCs w:val="16"/>
                <w:vertAlign w:val="subscript"/>
                <w:lang w:eastAsia="zh-CN"/>
              </w:rPr>
              <w:t>c</w:t>
            </w:r>
            <w:r w:rsidRPr="00D765C7">
              <w:rPr>
                <w:sz w:val="16"/>
                <w:szCs w:val="16"/>
                <w:lang w:eastAsia="zh-CN"/>
              </w:rPr>
              <w:t>, A-MPR</w:t>
            </w:r>
            <w:r w:rsidRPr="00D765C7">
              <w:rPr>
                <w:sz w:val="16"/>
                <w:szCs w:val="16"/>
                <w:vertAlign w:val="subscript"/>
                <w:lang w:eastAsia="zh-CN"/>
              </w:rPr>
              <w:t>c</w:t>
            </w:r>
            <w:r w:rsidRPr="00D765C7">
              <w:rPr>
                <w:sz w:val="16"/>
                <w:szCs w:val="16"/>
                <w:lang w:eastAsia="zh-CN"/>
              </w:rPr>
              <w:t>)+ ΔT</w:t>
            </w:r>
            <w:r w:rsidRPr="00D765C7">
              <w:rPr>
                <w:sz w:val="16"/>
                <w:szCs w:val="16"/>
                <w:vertAlign w:val="subscript"/>
                <w:lang w:eastAsia="zh-CN"/>
              </w:rPr>
              <w:t>IB,c</w:t>
            </w:r>
            <w:r w:rsidRPr="00D765C7">
              <w:rPr>
                <w:sz w:val="16"/>
                <w:szCs w:val="16"/>
                <w:lang w:eastAsia="zh-CN"/>
              </w:rPr>
              <w:t xml:space="preserve"> + ∆T</w:t>
            </w:r>
            <w:r w:rsidRPr="00D765C7">
              <w:rPr>
                <w:sz w:val="16"/>
                <w:szCs w:val="16"/>
                <w:vertAlign w:val="subscript"/>
                <w:lang w:eastAsia="zh-CN"/>
              </w:rPr>
              <w:t xml:space="preserve">C,c </w:t>
            </w:r>
            <w:r w:rsidRPr="00D765C7">
              <w:rPr>
                <w:sz w:val="16"/>
                <w:szCs w:val="16"/>
                <w:lang w:eastAsia="zh-CN"/>
              </w:rPr>
              <w:t>+</w:t>
            </w:r>
            <w:r w:rsidRPr="00D765C7">
              <w:rPr>
                <w:sz w:val="16"/>
                <w:szCs w:val="16"/>
                <w:vertAlign w:val="subscript"/>
                <w:lang w:eastAsia="zh-CN"/>
              </w:rPr>
              <w:t xml:space="preserve"> </w:t>
            </w:r>
            <w:r w:rsidRPr="00D765C7">
              <w:rPr>
                <w:sz w:val="16"/>
                <w:szCs w:val="16"/>
              </w:rPr>
              <w:t>∆T</w:t>
            </w:r>
            <w:r w:rsidRPr="00D765C7">
              <w:rPr>
                <w:sz w:val="16"/>
                <w:szCs w:val="16"/>
                <w:vertAlign w:val="subscript"/>
                <w:lang w:eastAsia="zh-CN"/>
              </w:rPr>
              <w:t>RxSRS</w:t>
            </w:r>
            <w:r w:rsidRPr="00D765C7">
              <w:rPr>
                <w:sz w:val="16"/>
                <w:szCs w:val="16"/>
                <w:lang w:eastAsia="zh-CN"/>
              </w:rPr>
              <w:t xml:space="preserve">, </w:t>
            </w:r>
            <w:r w:rsidRPr="00DB0331">
              <w:rPr>
                <w:sz w:val="16"/>
                <w:szCs w:val="16"/>
                <w:highlight w:val="cyan"/>
                <w:lang w:eastAsia="zh-CN"/>
              </w:rPr>
              <w:t>P-MPR</w:t>
            </w:r>
            <w:r w:rsidRPr="00DB0331">
              <w:rPr>
                <w:sz w:val="16"/>
                <w:szCs w:val="16"/>
                <w:highlight w:val="cyan"/>
                <w:vertAlign w:val="subscript"/>
                <w:lang w:eastAsia="zh-CN"/>
              </w:rPr>
              <w:t>c</w:t>
            </w:r>
            <w:r w:rsidRPr="00D765C7">
              <w:rPr>
                <w:sz w:val="16"/>
                <w:szCs w:val="16"/>
                <w:lang w:eastAsia="zh-CN"/>
              </w:rPr>
              <w:t>) }</w:t>
            </w:r>
          </w:p>
          <w:p w14:paraId="067174F9" w14:textId="77777777" w:rsidR="00D765C7" w:rsidRPr="00D765C7" w:rsidRDefault="00D765C7" w:rsidP="00D765C7">
            <w:pPr>
              <w:pStyle w:val="EQ"/>
              <w:jc w:val="center"/>
              <w:rPr>
                <w:sz w:val="16"/>
                <w:szCs w:val="16"/>
                <w:lang w:eastAsia="zh-CN"/>
              </w:rPr>
            </w:pPr>
            <w:r w:rsidRPr="00D765C7">
              <w:rPr>
                <w:sz w:val="16"/>
                <w:szCs w:val="16"/>
                <w:lang w:eastAsia="zh-CN"/>
              </w:rPr>
              <w:t>P</w:t>
            </w:r>
            <w:r w:rsidRPr="00D765C7">
              <w:rPr>
                <w:sz w:val="16"/>
                <w:szCs w:val="16"/>
                <w:vertAlign w:val="subscript"/>
                <w:lang w:eastAsia="zh-CN"/>
              </w:rPr>
              <w:t>CMAX_H,f,c</w:t>
            </w:r>
            <w:r w:rsidRPr="00D765C7">
              <w:rPr>
                <w:sz w:val="16"/>
                <w:szCs w:val="16"/>
                <w:lang w:eastAsia="zh-CN"/>
              </w:rPr>
              <w:t xml:space="preserve"> = MIN {P</w:t>
            </w:r>
            <w:r w:rsidRPr="00D765C7">
              <w:rPr>
                <w:sz w:val="16"/>
                <w:szCs w:val="16"/>
                <w:vertAlign w:val="subscript"/>
                <w:lang w:eastAsia="zh-CN"/>
              </w:rPr>
              <w:t>EMAX,c</w:t>
            </w:r>
            <w:r w:rsidRPr="00D765C7">
              <w:rPr>
                <w:sz w:val="16"/>
                <w:szCs w:val="16"/>
                <w:lang w:eastAsia="zh-CN"/>
              </w:rPr>
              <w:t>,  P</w:t>
            </w:r>
            <w:r w:rsidRPr="00D765C7">
              <w:rPr>
                <w:sz w:val="16"/>
                <w:szCs w:val="16"/>
                <w:vertAlign w:val="subscript"/>
                <w:lang w:eastAsia="zh-CN"/>
              </w:rPr>
              <w:t>PowerClass</w:t>
            </w:r>
            <w:r w:rsidRPr="00D765C7">
              <w:rPr>
                <w:sz w:val="16"/>
                <w:szCs w:val="16"/>
                <w:lang w:eastAsia="zh-CN"/>
              </w:rPr>
              <w:t xml:space="preserve"> – ΔP</w:t>
            </w:r>
            <w:r w:rsidRPr="00D765C7">
              <w:rPr>
                <w:sz w:val="16"/>
                <w:szCs w:val="16"/>
                <w:vertAlign w:val="subscript"/>
                <w:lang w:eastAsia="zh-CN"/>
              </w:rPr>
              <w:t>PowerClass</w:t>
            </w:r>
            <w:r w:rsidRPr="00D765C7">
              <w:rPr>
                <w:sz w:val="16"/>
                <w:szCs w:val="16"/>
                <w:lang w:eastAsia="zh-CN"/>
              </w:rPr>
              <w:t xml:space="preserve"> }</w:t>
            </w:r>
          </w:p>
          <w:p w14:paraId="49A12323" w14:textId="77777777" w:rsidR="00D765C7" w:rsidRPr="00D765C7" w:rsidRDefault="00D765C7" w:rsidP="00D765C7">
            <w:pPr>
              <w:rPr>
                <w:sz w:val="16"/>
                <w:szCs w:val="16"/>
                <w:lang w:eastAsia="zh-CN"/>
              </w:rPr>
            </w:pPr>
            <w:r w:rsidRPr="00D765C7">
              <w:rPr>
                <w:sz w:val="16"/>
                <w:szCs w:val="16"/>
                <w:lang w:eastAsia="zh-CN"/>
              </w:rPr>
              <w:t>where</w:t>
            </w:r>
          </w:p>
          <w:p w14:paraId="77C515C4" w14:textId="77777777" w:rsidR="00D765C7" w:rsidRPr="00D765C7" w:rsidRDefault="00D765C7" w:rsidP="000F7550">
            <w:pPr>
              <w:rPr>
                <w:sz w:val="16"/>
                <w:szCs w:val="16"/>
              </w:rPr>
            </w:pPr>
            <w:r w:rsidRPr="00D765C7">
              <w:rPr>
                <w:sz w:val="16"/>
                <w:szCs w:val="16"/>
              </w:rPr>
              <w:t>…</w:t>
            </w:r>
          </w:p>
          <w:p w14:paraId="183AA6DA" w14:textId="77777777" w:rsidR="00D765C7" w:rsidRPr="00D765C7" w:rsidRDefault="00D765C7" w:rsidP="00D765C7">
            <w:pPr>
              <w:pStyle w:val="B1"/>
              <w:rPr>
                <w:sz w:val="16"/>
                <w:szCs w:val="16"/>
                <w:lang w:eastAsia="zh-CN"/>
              </w:rPr>
            </w:pPr>
            <w:r w:rsidRPr="00D765C7">
              <w:rPr>
                <w:sz w:val="16"/>
                <w:szCs w:val="16"/>
                <w:lang w:eastAsia="zh-CN"/>
              </w:rPr>
              <w:t>P-MPR</w:t>
            </w:r>
            <w:r w:rsidRPr="00D765C7">
              <w:rPr>
                <w:sz w:val="16"/>
                <w:szCs w:val="16"/>
                <w:vertAlign w:val="subscript"/>
                <w:lang w:eastAsia="zh-CN"/>
              </w:rPr>
              <w:t>c</w:t>
            </w:r>
            <w:r w:rsidRPr="00D765C7">
              <w:rPr>
                <w:sz w:val="16"/>
                <w:szCs w:val="16"/>
                <w:lang w:eastAsia="zh-CN"/>
              </w:rPr>
              <w:t xml:space="preserve"> is the allowed maximum output power reduction for</w:t>
            </w:r>
          </w:p>
          <w:p w14:paraId="1D1FAC26" w14:textId="77777777" w:rsidR="00D765C7" w:rsidRPr="00D765C7" w:rsidRDefault="00D765C7" w:rsidP="00D765C7">
            <w:pPr>
              <w:pStyle w:val="B2"/>
              <w:rPr>
                <w:sz w:val="16"/>
                <w:szCs w:val="16"/>
                <w:lang w:eastAsia="zh-CN"/>
              </w:rPr>
            </w:pPr>
            <w:r w:rsidRPr="00D765C7">
              <w:rPr>
                <w:sz w:val="16"/>
                <w:szCs w:val="16"/>
                <w:lang w:eastAsia="zh-CN"/>
              </w:rPr>
              <w:lastRenderedPageBreak/>
              <w:t>a)</w:t>
            </w:r>
            <w:r w:rsidRPr="00D765C7">
              <w:rPr>
                <w:sz w:val="16"/>
                <w:szCs w:val="16"/>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31BF50F" w14:textId="77777777" w:rsidR="00D765C7" w:rsidRPr="00D765C7" w:rsidRDefault="00D765C7" w:rsidP="00D765C7">
            <w:pPr>
              <w:pStyle w:val="B2"/>
              <w:rPr>
                <w:sz w:val="16"/>
                <w:szCs w:val="16"/>
                <w:lang w:eastAsia="zh-CN"/>
              </w:rPr>
            </w:pPr>
            <w:r w:rsidRPr="00D765C7">
              <w:rPr>
                <w:sz w:val="16"/>
                <w:szCs w:val="16"/>
                <w:lang w:eastAsia="zh-CN"/>
              </w:rPr>
              <w:t>b)</w:t>
            </w:r>
            <w:r w:rsidRPr="00D765C7">
              <w:rPr>
                <w:sz w:val="16"/>
                <w:szCs w:val="16"/>
                <w:lang w:eastAsia="zh-CN"/>
              </w:rPr>
              <w:tab/>
              <w:t>ensuring compliance with applicable electromagnetic energy absorption requirements in case of proximity detection is used to address such requirements that require a lower maximum output power.</w:t>
            </w:r>
          </w:p>
          <w:p w14:paraId="429536B0" w14:textId="77777777" w:rsidR="00D765C7" w:rsidRPr="00D765C7" w:rsidRDefault="00D765C7" w:rsidP="00D765C7">
            <w:pPr>
              <w:pStyle w:val="B1"/>
              <w:rPr>
                <w:sz w:val="16"/>
                <w:szCs w:val="16"/>
                <w:lang w:eastAsia="zh-CN"/>
              </w:rPr>
            </w:pPr>
            <w:r w:rsidRPr="00D765C7">
              <w:rPr>
                <w:sz w:val="16"/>
                <w:szCs w:val="16"/>
                <w:lang w:eastAsia="zh-CN"/>
              </w:rPr>
              <w:t xml:space="preserve">The UE shall apply </w:t>
            </w:r>
            <w:r w:rsidRPr="00DB0331">
              <w:rPr>
                <w:sz w:val="16"/>
                <w:szCs w:val="16"/>
                <w:highlight w:val="cyan"/>
                <w:lang w:eastAsia="zh-CN"/>
              </w:rPr>
              <w:t>P-MPR</w:t>
            </w:r>
            <w:r w:rsidRPr="00DB0331">
              <w:rPr>
                <w:sz w:val="16"/>
                <w:szCs w:val="16"/>
                <w:highlight w:val="cyan"/>
                <w:vertAlign w:val="subscript"/>
                <w:lang w:eastAsia="zh-CN"/>
              </w:rPr>
              <w:t>c</w:t>
            </w:r>
            <w:r w:rsidRPr="00D765C7">
              <w:rPr>
                <w:sz w:val="16"/>
                <w:szCs w:val="16"/>
                <w:lang w:eastAsia="zh-CN"/>
              </w:rPr>
              <w:t xml:space="preserve"> for serving cell c only for the above cases. For UE conducted conformance testing P-MPR</w:t>
            </w:r>
            <w:r w:rsidRPr="00D765C7">
              <w:rPr>
                <w:sz w:val="16"/>
                <w:szCs w:val="16"/>
                <w:vertAlign w:val="subscript"/>
                <w:lang w:eastAsia="zh-CN"/>
              </w:rPr>
              <w:t>c</w:t>
            </w:r>
            <w:r w:rsidRPr="00D765C7">
              <w:rPr>
                <w:sz w:val="16"/>
                <w:szCs w:val="16"/>
                <w:lang w:eastAsia="zh-CN"/>
              </w:rPr>
              <w:t xml:space="preserve"> shall be 0 dB</w:t>
            </w:r>
          </w:p>
          <w:p w14:paraId="715FC98A" w14:textId="77777777" w:rsidR="00D765C7" w:rsidRPr="00D765C7" w:rsidRDefault="00D765C7" w:rsidP="00D765C7">
            <w:pPr>
              <w:pStyle w:val="NO"/>
              <w:ind w:left="1418"/>
              <w:rPr>
                <w:sz w:val="16"/>
                <w:szCs w:val="16"/>
              </w:rPr>
            </w:pPr>
            <w:r w:rsidRPr="00D765C7">
              <w:rPr>
                <w:sz w:val="16"/>
                <w:szCs w:val="16"/>
              </w:rPr>
              <w:t>NOTE 1:</w:t>
            </w:r>
            <w:r w:rsidRPr="00D765C7">
              <w:rPr>
                <w:sz w:val="16"/>
                <w:szCs w:val="16"/>
              </w:rPr>
              <w:tab/>
              <w:t>P-MPRc was introduced in the P</w:t>
            </w:r>
            <w:r w:rsidRPr="00D765C7">
              <w:rPr>
                <w:sz w:val="16"/>
                <w:szCs w:val="16"/>
                <w:vertAlign w:val="subscript"/>
              </w:rPr>
              <w:t xml:space="preserve">CMAX,f,c </w:t>
            </w:r>
            <w:r w:rsidRPr="00D765C7">
              <w:rPr>
                <w:sz w:val="16"/>
                <w:szCs w:val="16"/>
              </w:rPr>
              <w:t>equation such that the UE can report to the gNB the available maximum output transmit power. This information can be used by the gNB for scheduling decisions.</w:t>
            </w:r>
          </w:p>
          <w:p w14:paraId="517A53FC" w14:textId="6B94DD39" w:rsidR="00D765C7" w:rsidRDefault="00D765C7" w:rsidP="00D765C7">
            <w:pPr>
              <w:pStyle w:val="NO"/>
              <w:ind w:left="1418"/>
            </w:pPr>
            <w:r w:rsidRPr="00D765C7">
              <w:rPr>
                <w:sz w:val="16"/>
                <w:szCs w:val="16"/>
              </w:rPr>
              <w:t>NOTE 2:</w:t>
            </w:r>
            <w:r w:rsidRPr="00D765C7">
              <w:rPr>
                <w:sz w:val="16"/>
                <w:szCs w:val="16"/>
              </w:rPr>
              <w:tab/>
              <w:t>P-MPRc may impact the maximum uplink performance for the selected UL transmission path.</w:t>
            </w:r>
          </w:p>
        </w:tc>
      </w:tr>
    </w:tbl>
    <w:p w14:paraId="59A81D36" w14:textId="068488BD" w:rsidR="00245F6C" w:rsidRDefault="00245F6C" w:rsidP="000F7550"/>
    <w:p w14:paraId="7897F21E" w14:textId="30D45455" w:rsidR="00EC0460" w:rsidRDefault="007309C9" w:rsidP="00EC0460">
      <w:r>
        <w:t>A</w:t>
      </w:r>
      <w:r w:rsidR="00EC0460">
        <w:t>ccording to TS38.101-1, P-MPR is the allowed max output power reduction for “ensuring compliance with applicable electromagnetic energy absorption requirements and addressing unwanted emissions / self desense requirements in case of simultaneous transmissions on multiple RAT(s) for scenarios not in scope of 3GPP RAN specifications”  Thus, P-MPR based techniques for the UE to comply with SAR regulation should be listed as alternative options for the corresponding open issues.</w:t>
      </w:r>
    </w:p>
    <w:p w14:paraId="7BFC28C8" w14:textId="75AE5BEF" w:rsidR="007309C9" w:rsidRDefault="007309C9" w:rsidP="007309C9">
      <w:pPr>
        <w:pStyle w:val="Observation"/>
      </w:pPr>
      <w:bookmarkStart w:id="1" w:name="_Toc47681611"/>
      <w:r>
        <w:t>Observation 1:</w:t>
      </w:r>
      <w:r>
        <w:tab/>
      </w:r>
      <w:r w:rsidRPr="007309C9">
        <w:t>P-MPR is the allowed max output power reduction for “ensuring compliance with applicable electromagnetic energy absorption requirements and addressing unwanted emissions / self desense requirements in case of simultaneous transmissions on multiple RAT(s) for scenarios not in scope of 3GPP RAN specifications</w:t>
      </w:r>
      <w:r>
        <w:t>.</w:t>
      </w:r>
      <w:r w:rsidRPr="007309C9">
        <w:t>”</w:t>
      </w:r>
      <w:bookmarkEnd w:id="1"/>
    </w:p>
    <w:p w14:paraId="78306534" w14:textId="2520DC91" w:rsidR="00EC0460" w:rsidRDefault="00AF61D2" w:rsidP="00EC0460">
      <w:r>
        <w:t>In the case of EN-DC with 1 LTE FDD band and 1 NR TDD band, the configured output power requirements for inter-band EN-DC apply from TS38.101-3:</w:t>
      </w:r>
    </w:p>
    <w:tbl>
      <w:tblPr>
        <w:tblStyle w:val="TableGrid"/>
        <w:tblW w:w="0" w:type="auto"/>
        <w:tblLook w:val="04A0" w:firstRow="1" w:lastRow="0" w:firstColumn="1" w:lastColumn="0" w:noHBand="0" w:noVBand="1"/>
      </w:tblPr>
      <w:tblGrid>
        <w:gridCol w:w="9631"/>
      </w:tblGrid>
      <w:tr w:rsidR="00DB0331" w14:paraId="708B7FC3" w14:textId="77777777" w:rsidTr="00DB0331">
        <w:tc>
          <w:tcPr>
            <w:tcW w:w="9631" w:type="dxa"/>
          </w:tcPr>
          <w:p w14:paraId="011F0E6C" w14:textId="77777777" w:rsidR="00DB0331" w:rsidRPr="00E062F1" w:rsidRDefault="00DB0331" w:rsidP="00DB0331">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1F78E6BB" w14:textId="77777777" w:rsidR="00DB0331" w:rsidRPr="00E062F1" w:rsidRDefault="00DB0331" w:rsidP="00DB0331">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7C384ED3" w14:textId="77777777" w:rsidR="00DB0331" w:rsidRPr="00E062F1" w:rsidRDefault="00DB0331" w:rsidP="00DB0331">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1734F784" w14:textId="77777777" w:rsidR="00DB0331" w:rsidRPr="006E2459" w:rsidRDefault="00DB0331" w:rsidP="00DB0331">
            <w:pPr>
              <w:keepLines/>
              <w:tabs>
                <w:tab w:val="center" w:pos="4536"/>
                <w:tab w:val="right" w:pos="9072"/>
              </w:tabs>
              <w:autoSpaceDE w:val="0"/>
              <w:autoSpaceDN w:val="0"/>
              <w:adjustRightInd w:val="0"/>
              <w:jc w:val="center"/>
              <w:rPr>
                <w:lang w:eastAsia="x-none" w:bidi="bn-IN"/>
              </w:rPr>
            </w:pPr>
            <w:bookmarkStart w:id="2"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xml:space="preserve">, </w:t>
            </w:r>
            <w:r w:rsidRPr="00DB0331">
              <w:rPr>
                <w:highlight w:val="yellow"/>
                <w:lang w:eastAsia="x-none" w:bidi="bn-IN"/>
              </w:rPr>
              <w:t>P-MPR</w:t>
            </w:r>
            <w:r w:rsidRPr="00DB0331">
              <w:rPr>
                <w:rFonts w:cs="Vrinda"/>
                <w:i/>
                <w:highlight w:val="yellow"/>
                <w:vertAlign w:val="subscript"/>
                <w:lang w:eastAsia="x-none" w:bidi="bn-IN"/>
              </w:rPr>
              <w:t>c</w:t>
            </w:r>
            <w:r w:rsidRPr="006E2459">
              <w:rPr>
                <w:lang w:eastAsia="x-none" w:bidi="bn-IN"/>
              </w:rPr>
              <w:t>)}</w:t>
            </w:r>
          </w:p>
          <w:p w14:paraId="660852C0" w14:textId="77777777" w:rsidR="00DB0331" w:rsidRPr="006E2459" w:rsidRDefault="00DB0331" w:rsidP="00DB0331">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bookmarkEnd w:id="2"/>
          <w:p w14:paraId="33553F0B" w14:textId="77777777" w:rsidR="00DB0331" w:rsidRDefault="00DB0331" w:rsidP="00EC0460">
            <w:r>
              <w:t>…</w:t>
            </w:r>
          </w:p>
          <w:p w14:paraId="5ED04BD8" w14:textId="77777777" w:rsidR="00DB0331" w:rsidRPr="00E062F1" w:rsidRDefault="00DB0331" w:rsidP="00DB0331">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77FA8D1C" w14:textId="77777777" w:rsidR="00DB0331" w:rsidRPr="00E062F1" w:rsidRDefault="00DB0331" w:rsidP="00DB0331">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62045DBC" w14:textId="77777777" w:rsidR="00DB0331" w:rsidRPr="00E062F1" w:rsidRDefault="00DB0331" w:rsidP="00DB0331">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5C8CEB28" w14:textId="77777777" w:rsidR="00DB0331" w:rsidRPr="006E2459" w:rsidRDefault="00DB0331" w:rsidP="00DB0331">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xml:space="preserve">,  </w:t>
            </w:r>
            <w:r w:rsidRPr="00DB0331">
              <w:rPr>
                <w:noProof/>
                <w:highlight w:val="cyan"/>
                <w:lang w:eastAsia="zh-CN"/>
              </w:rPr>
              <w:t>P-MPR</w:t>
            </w:r>
            <w:r w:rsidRPr="00DB0331">
              <w:rPr>
                <w:noProof/>
                <w:highlight w:val="cyan"/>
                <w:vertAlign w:val="subscript"/>
                <w:lang w:eastAsia="zh-CN"/>
              </w:rPr>
              <w:t>c</w:t>
            </w:r>
            <w:r w:rsidRPr="006E2459">
              <w:rPr>
                <w:noProof/>
                <w:lang w:eastAsia="zh-CN"/>
              </w:rPr>
              <w:t>) }</w:t>
            </w:r>
          </w:p>
          <w:p w14:paraId="3993A771" w14:textId="30E31979" w:rsidR="00DB0331" w:rsidRDefault="00DB0331" w:rsidP="00DB0331">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tc>
      </w:tr>
    </w:tbl>
    <w:p w14:paraId="78BA75A6" w14:textId="77777777" w:rsidR="00AF61D2" w:rsidRDefault="00AF61D2" w:rsidP="00EC0460"/>
    <w:p w14:paraId="4FF01ED8" w14:textId="5803C39D" w:rsidR="007309C9" w:rsidRDefault="007D441F" w:rsidP="00EC0460">
      <w:r>
        <w:t>The configured output power requirements for the E-UTRA and NR carriers, respectively, include P-MPR terms for the same purpose as stated above:  in order for the UE to comply with “</w:t>
      </w:r>
      <w:r>
        <w:t>applicable electromagnetic energy absorption requirements</w:t>
      </w:r>
      <w:r>
        <w:t>.”</w:t>
      </w:r>
    </w:p>
    <w:p w14:paraId="5201C08A" w14:textId="5EB6CE86" w:rsidR="007D441F" w:rsidRDefault="007D441F" w:rsidP="007D441F">
      <w:pPr>
        <w:pStyle w:val="Observation"/>
      </w:pPr>
      <w:bookmarkStart w:id="3" w:name="_Toc47681612"/>
      <w:r>
        <w:t>Observation 1:</w:t>
      </w:r>
      <w:r>
        <w:tab/>
      </w:r>
      <w:r>
        <w:t xml:space="preserve">In the case of inter-band EN-DC between 1 LTE FDD band and 1 NR TDD band, </w:t>
      </w:r>
      <w:r w:rsidRPr="007309C9">
        <w:t>P-MPR is the allowed max output power reduction</w:t>
      </w:r>
      <w:r>
        <w:t>, defined independently for each carrier,</w:t>
      </w:r>
      <w:r w:rsidRPr="007309C9">
        <w:t xml:space="preserve"> for “ensuring compliance with applicable electromagnetic energy absorption requirements and addressing </w:t>
      </w:r>
      <w:r w:rsidRPr="007309C9">
        <w:lastRenderedPageBreak/>
        <w:t>unwanted emissions / self desense requirements in case of simultaneous transmissions on multiple RAT(s) for scenarios not in scope of 3GPP RAN specifications</w:t>
      </w:r>
      <w:r>
        <w:t>.</w:t>
      </w:r>
      <w:r w:rsidRPr="007309C9">
        <w:t>”</w:t>
      </w:r>
      <w:bookmarkEnd w:id="3"/>
    </w:p>
    <w:p w14:paraId="7B676634" w14:textId="7ADC7F67" w:rsidR="00245F6C" w:rsidRDefault="00C15F0F" w:rsidP="00245F6C">
      <w:r>
        <w:t>Based on the above observations, it follows that the UE is allowed to apply P-MPR to each carrier in the EN-DC configuration.  Furthermore, regardless of the network scheduling decisions, it is always the UE’s responsibility to comply with SAR regulation.</w:t>
      </w:r>
    </w:p>
    <w:p w14:paraId="78109A56" w14:textId="27A901B1" w:rsidR="006B36D4" w:rsidRDefault="006B36D4" w:rsidP="00245F6C">
      <w:r>
        <w:t>We next consider the objectives of the WID:</w:t>
      </w:r>
    </w:p>
    <w:tbl>
      <w:tblPr>
        <w:tblStyle w:val="TableGrid"/>
        <w:tblW w:w="0" w:type="auto"/>
        <w:tblLook w:val="04A0" w:firstRow="1" w:lastRow="0" w:firstColumn="1" w:lastColumn="0" w:noHBand="0" w:noVBand="1"/>
      </w:tblPr>
      <w:tblGrid>
        <w:gridCol w:w="9631"/>
      </w:tblGrid>
      <w:tr w:rsidR="006B36D4" w14:paraId="65A6A325" w14:textId="77777777" w:rsidTr="006B36D4">
        <w:tc>
          <w:tcPr>
            <w:tcW w:w="9631" w:type="dxa"/>
          </w:tcPr>
          <w:p w14:paraId="44CDAE7D" w14:textId="77777777" w:rsidR="006B36D4" w:rsidRPr="006B36D4" w:rsidRDefault="006B36D4" w:rsidP="006B36D4">
            <w:pPr>
              <w:jc w:val="both"/>
              <w:rPr>
                <w:sz w:val="16"/>
                <w:szCs w:val="16"/>
              </w:rPr>
            </w:pPr>
            <w:r w:rsidRPr="006B36D4">
              <w:rPr>
                <w:sz w:val="16"/>
                <w:szCs w:val="16"/>
              </w:rPr>
              <w:t>The objective of this WI is to specify the standard needed for Power Class 2 (PC2) high power UE for EN-DC for 1 LTE FDD band and 1 NR TDD band. The scope of this WI is the example band combination DC_3A_n78n. Specifically, it includes the following aspects:</w:t>
            </w:r>
          </w:p>
          <w:p w14:paraId="21ABC867" w14:textId="77777777" w:rsidR="006B36D4" w:rsidRPr="006B36D4" w:rsidRDefault="006B36D4" w:rsidP="006B36D4">
            <w:pPr>
              <w:numPr>
                <w:ilvl w:val="0"/>
                <w:numId w:val="10"/>
              </w:numPr>
              <w:overflowPunct w:val="0"/>
              <w:autoSpaceDE w:val="0"/>
              <w:autoSpaceDN w:val="0"/>
              <w:adjustRightInd w:val="0"/>
              <w:textAlignment w:val="baseline"/>
              <w:rPr>
                <w:sz w:val="16"/>
                <w:szCs w:val="16"/>
                <w:lang w:eastAsia="zh-CN"/>
              </w:rPr>
            </w:pPr>
            <w:r w:rsidRPr="006B36D4">
              <w:rPr>
                <w:sz w:val="16"/>
                <w:szCs w:val="16"/>
                <w:lang w:eastAsia="zh-CN"/>
              </w:rPr>
              <w:t>Design the UE capability report signalling and facilitate SAR compliance based on the outcomes of the studies in TR 37.815</w:t>
            </w:r>
          </w:p>
          <w:p w14:paraId="5633ECD6" w14:textId="77777777" w:rsidR="006B36D4" w:rsidRPr="006B36D4" w:rsidRDefault="006B36D4" w:rsidP="006B36D4">
            <w:pPr>
              <w:numPr>
                <w:ilvl w:val="0"/>
                <w:numId w:val="10"/>
              </w:numPr>
              <w:overflowPunct w:val="0"/>
              <w:autoSpaceDE w:val="0"/>
              <w:autoSpaceDN w:val="0"/>
              <w:adjustRightInd w:val="0"/>
              <w:textAlignment w:val="baseline"/>
              <w:rPr>
                <w:sz w:val="16"/>
                <w:szCs w:val="16"/>
                <w:lang w:eastAsia="zh-CN"/>
              </w:rPr>
            </w:pPr>
            <w:r w:rsidRPr="006B36D4">
              <w:rPr>
                <w:sz w:val="16"/>
                <w:szCs w:val="16"/>
                <w:lang w:eastAsia="zh-CN"/>
              </w:rPr>
              <w:t>Standardize RF requirements</w:t>
            </w:r>
          </w:p>
          <w:p w14:paraId="2111AA48" w14:textId="77777777" w:rsidR="006B36D4" w:rsidRPr="006B36D4" w:rsidRDefault="006B36D4" w:rsidP="006B36D4">
            <w:pPr>
              <w:numPr>
                <w:ilvl w:val="0"/>
                <w:numId w:val="10"/>
              </w:numPr>
              <w:overflowPunct w:val="0"/>
              <w:autoSpaceDE w:val="0"/>
              <w:autoSpaceDN w:val="0"/>
              <w:adjustRightInd w:val="0"/>
              <w:textAlignment w:val="baseline"/>
              <w:rPr>
                <w:sz w:val="16"/>
                <w:szCs w:val="16"/>
                <w:lang w:eastAsia="zh-CN"/>
              </w:rPr>
            </w:pPr>
            <w:r w:rsidRPr="006B36D4">
              <w:rPr>
                <w:sz w:val="16"/>
                <w:szCs w:val="16"/>
                <w:lang w:eastAsia="zh-CN"/>
              </w:rPr>
              <w:t>Evaluate any additional impact to the requirements due to the high power on UL.</w:t>
            </w:r>
          </w:p>
          <w:p w14:paraId="392F463F" w14:textId="58FC30CF" w:rsidR="006B36D4" w:rsidRDefault="006B36D4" w:rsidP="006B36D4">
            <w:pPr>
              <w:ind w:leftChars="200" w:left="400" w:rightChars="-49" w:right="-98"/>
            </w:pPr>
            <w:r w:rsidRPr="006B36D4">
              <w:rPr>
                <w:sz w:val="16"/>
                <w:szCs w:val="16"/>
              </w:rPr>
              <w:t>Note: RAN4 needs to discuss whether existing RAN2 signalling can be reused to solve the issues in this WI. If there is RAN2 signalling impact then RAN4 will send LS to RAN2 to inform the solution. No RAN2 TUs are requested for this WI.</w:t>
            </w:r>
          </w:p>
        </w:tc>
      </w:tr>
    </w:tbl>
    <w:p w14:paraId="19B2B37A" w14:textId="77777777" w:rsidR="006B36D4" w:rsidRDefault="006B36D4" w:rsidP="00245F6C"/>
    <w:p w14:paraId="5C6CEE94" w14:textId="16A33D6F" w:rsidR="006B36D4" w:rsidRDefault="00975B25" w:rsidP="00245F6C">
      <w:r>
        <w:t>We observe that the objective related to UE capability signaling based on the outcome of studies in TR 37.815 refers exclusively to the duty cycle schemes described in the TR.  Because the TR did not include consideration of the already specified P-MPR requirements, we can conclude that the study focuses on potential enhancements to the configured output power requirements.  From this perspective, the P-MPR solution is the already specified baseline behavior.  Based on these observations, we make the following proposals:</w:t>
      </w:r>
    </w:p>
    <w:p w14:paraId="3D9549BD" w14:textId="27DA5729" w:rsidR="00EF31D1" w:rsidRDefault="00EF31D1" w:rsidP="00EF31D1">
      <w:pPr>
        <w:pStyle w:val="Proposal"/>
      </w:pPr>
      <w:bookmarkStart w:id="4" w:name="_Toc47648760"/>
      <w:bookmarkStart w:id="5" w:name="_Toc47649646"/>
      <w:bookmarkStart w:id="6" w:name="_Toc47681613"/>
      <w:r>
        <w:t>Proposal 1:</w:t>
      </w:r>
      <w:r>
        <w:tab/>
      </w:r>
      <w:bookmarkEnd w:id="4"/>
      <w:bookmarkEnd w:id="5"/>
      <w:r w:rsidR="00975B25">
        <w:t>In the context of the work item on PC2 for EN-DC FDD-TDD, the P-MPR method of UE compliance with SAR regulation shall be considered the baseline UE behavior.</w:t>
      </w:r>
      <w:bookmarkEnd w:id="6"/>
    </w:p>
    <w:p w14:paraId="25F42F6C" w14:textId="58560B66" w:rsidR="00975B25" w:rsidRDefault="00975B25" w:rsidP="00975B25">
      <w:pPr>
        <w:pStyle w:val="Proposal"/>
      </w:pPr>
      <w:bookmarkStart w:id="7" w:name="_Toc47681614"/>
      <w:r>
        <w:t xml:space="preserve">Proposal </w:t>
      </w:r>
      <w:r>
        <w:t>2</w:t>
      </w:r>
      <w:r>
        <w:t>:</w:t>
      </w:r>
      <w:r>
        <w:tab/>
      </w:r>
      <w:r>
        <w:t>Any enhancement of the baseline UE behavior, if deemed feasible, shall be an optional capability</w:t>
      </w:r>
      <w:r>
        <w:t>.</w:t>
      </w:r>
      <w:bookmarkEnd w:id="7"/>
    </w:p>
    <w:p w14:paraId="41B31DB9" w14:textId="7DE0CD3B" w:rsidR="00975B25" w:rsidRDefault="00975B25" w:rsidP="00975B25">
      <w:pPr>
        <w:pStyle w:val="Proposal"/>
      </w:pPr>
      <w:bookmarkStart w:id="8" w:name="_Toc47681615"/>
      <w:r>
        <w:t xml:space="preserve">Proposal </w:t>
      </w:r>
      <w:r>
        <w:t>3</w:t>
      </w:r>
      <w:r>
        <w:t>:</w:t>
      </w:r>
      <w:r>
        <w:tab/>
      </w:r>
      <w:r>
        <w:t xml:space="preserve">The Rel-16 work item </w:t>
      </w:r>
      <w:r>
        <w:t>on PC2 for EN-DC FDD-TDD</w:t>
      </w:r>
      <w:r>
        <w:t xml:space="preserve"> can conclude considering the baseline UE behavior, if RAN4 does not converge on the feasibility of additional enhancements.</w:t>
      </w:r>
      <w:bookmarkEnd w:id="8"/>
    </w:p>
    <w:p w14:paraId="34C99636" w14:textId="77777777" w:rsidR="008E7986" w:rsidRDefault="008E7986" w:rsidP="008E7986">
      <w:pPr>
        <w:pStyle w:val="Heading1"/>
      </w:pPr>
      <w:r>
        <w:t>3</w:t>
      </w:r>
      <w:r>
        <w:tab/>
        <w:t>Conclusions</w:t>
      </w:r>
    </w:p>
    <w:p w14:paraId="4871BDD1" w14:textId="3B7272C2" w:rsidR="000545F9" w:rsidRDefault="00515AE4" w:rsidP="00E72324">
      <w:r>
        <w:t xml:space="preserve">In this </w:t>
      </w:r>
      <w:r w:rsidR="004F6FF8">
        <w:t xml:space="preserve">contribution </w:t>
      </w:r>
      <w:r w:rsidR="00975B25">
        <w:t>we have provided our analysis of the UE behavior for compliance with SAR regulation in an EN-DC FDD-TDD PC2 configuration and have provided the following observations and proposals:</w:t>
      </w:r>
      <w:bookmarkStart w:id="9" w:name="_GoBack"/>
      <w:bookmarkEnd w:id="9"/>
    </w:p>
    <w:p w14:paraId="7FFD864B" w14:textId="77777777" w:rsidR="00975B25" w:rsidRDefault="00CC0E34">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975B25">
        <w:rPr>
          <w:noProof/>
        </w:rPr>
        <w:t>Observation 1:</w:t>
      </w:r>
      <w:r w:rsidR="00975B25">
        <w:rPr>
          <w:rFonts w:asciiTheme="minorHAnsi" w:eastAsiaTheme="minorEastAsia" w:hAnsiTheme="minorHAnsi" w:cstheme="minorBidi"/>
          <w:b w:val="0"/>
          <w:bCs w:val="0"/>
          <w:noProof/>
          <w:sz w:val="24"/>
          <w:szCs w:val="24"/>
          <w:lang w:val="en-US"/>
        </w:rPr>
        <w:tab/>
      </w:r>
      <w:r w:rsidR="00975B25">
        <w:rPr>
          <w:noProof/>
        </w:rPr>
        <w:t>P-MPR is the allowed max output power reduction for “ensuring compliance with applicable electromagnetic energy absorption requirements and addressing unwanted emissions / self desense requirements in case of simultaneous transmissions on multiple RAT(s) for scenarios not in scope of 3GPP RAN specifications.”</w:t>
      </w:r>
    </w:p>
    <w:p w14:paraId="3C15D9A7" w14:textId="77777777" w:rsidR="00975B25" w:rsidRDefault="00975B25">
      <w:pPr>
        <w:pStyle w:val="TOC1"/>
        <w:rPr>
          <w:rFonts w:asciiTheme="minorHAnsi" w:eastAsiaTheme="minorEastAsia" w:hAnsiTheme="minorHAnsi" w:cstheme="minorBidi"/>
          <w:b w:val="0"/>
          <w:bCs w:val="0"/>
          <w:noProof/>
          <w:sz w:val="24"/>
          <w:szCs w:val="24"/>
          <w:lang w:val="en-US"/>
        </w:rPr>
      </w:pPr>
      <w:r>
        <w:rPr>
          <w:noProof/>
        </w:rPr>
        <w:t>Observation 1:</w:t>
      </w:r>
      <w:r>
        <w:rPr>
          <w:rFonts w:asciiTheme="minorHAnsi" w:eastAsiaTheme="minorEastAsia" w:hAnsiTheme="minorHAnsi" w:cstheme="minorBidi"/>
          <w:b w:val="0"/>
          <w:bCs w:val="0"/>
          <w:noProof/>
          <w:sz w:val="24"/>
          <w:szCs w:val="24"/>
          <w:lang w:val="en-US"/>
        </w:rPr>
        <w:tab/>
      </w:r>
      <w:r>
        <w:rPr>
          <w:noProof/>
        </w:rPr>
        <w:t>In the case of inter-band EN-DC between 1 LTE FDD band and 1 NR TDD band, P-MPR is the allowed max output power reduction, defined independently for each carrier, for “ensuring compliance with applicable electromagnetic energy absorption requirements and addressing unwanted emissions / self desense requirements in case of simultaneous transmissions on multiple RAT(s) for scenarios not in scope of 3GPP RAN specifications.”</w:t>
      </w:r>
    </w:p>
    <w:p w14:paraId="0FE114C4" w14:textId="24D7A5BA" w:rsidR="00CC0E34" w:rsidRDefault="00CC0E34" w:rsidP="00CC0E34">
      <w:r>
        <w:rPr>
          <w:rFonts w:asciiTheme="minorHAnsi" w:hAnsiTheme="minorHAnsi"/>
          <w:bCs/>
        </w:rPr>
        <w:fldChar w:fldCharType="end"/>
      </w:r>
    </w:p>
    <w:p w14:paraId="10A6406C" w14:textId="77777777" w:rsidR="00975B25"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975B25">
        <w:rPr>
          <w:noProof/>
        </w:rPr>
        <w:t>Proposal 1:</w:t>
      </w:r>
      <w:r w:rsidR="00975B25">
        <w:rPr>
          <w:rFonts w:asciiTheme="minorHAnsi" w:eastAsiaTheme="minorEastAsia" w:hAnsiTheme="minorHAnsi" w:cstheme="minorBidi"/>
          <w:b w:val="0"/>
          <w:bCs w:val="0"/>
          <w:noProof/>
          <w:sz w:val="24"/>
          <w:szCs w:val="24"/>
          <w:lang w:val="en-US"/>
        </w:rPr>
        <w:tab/>
      </w:r>
      <w:r w:rsidR="00975B25">
        <w:rPr>
          <w:noProof/>
        </w:rPr>
        <w:t>In the context of the work item on PC2 for EN-DC FDD-TDD, the P-MPR method of UE compliance with SAR regulation shall be considered the baseline UE behavior.</w:t>
      </w:r>
    </w:p>
    <w:p w14:paraId="55022209" w14:textId="77777777" w:rsidR="00975B25" w:rsidRDefault="00975B25">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Any enhancement of the baseline UE behavior, if deemed feasible, shall be an optional capability.</w:t>
      </w:r>
    </w:p>
    <w:p w14:paraId="4DE092F4" w14:textId="77777777" w:rsidR="00975B25" w:rsidRDefault="00975B25">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The Rel-16 work item on PC2 for EN-DC FDD-TDD can conclude considering the baseline UE behavior, if RAN4 does not converge on the feasibility of additional enhancements.</w:t>
      </w:r>
    </w:p>
    <w:p w14:paraId="05CC6F0A" w14:textId="59D30CFE" w:rsidR="005E69AE" w:rsidRDefault="0062595A" w:rsidP="009F6A53">
      <w:r>
        <w:rPr>
          <w:b/>
          <w:bCs/>
        </w:rPr>
        <w:lastRenderedPageBreak/>
        <w:fldChar w:fldCharType="end"/>
      </w:r>
    </w:p>
    <w:p w14:paraId="4D133CD8" w14:textId="09FDFF7E" w:rsidR="00276EE4" w:rsidRPr="003A0483" w:rsidRDefault="005E69AE" w:rsidP="0034070F">
      <w:pPr>
        <w:pStyle w:val="Heading1"/>
      </w:pPr>
      <w:r>
        <w:t>4</w:t>
      </w:r>
      <w:r>
        <w:tab/>
        <w:t>References</w:t>
      </w:r>
    </w:p>
    <w:p w14:paraId="25DC6318" w14:textId="2E1FD85F" w:rsidR="00ED060C" w:rsidRDefault="00245F6C" w:rsidP="00276EE4">
      <w:pPr>
        <w:pStyle w:val="EX"/>
      </w:pPr>
      <w:bookmarkStart w:id="10" w:name="_Ref47679018"/>
      <w:r w:rsidRPr="00245F6C">
        <w:t>RP-193244</w:t>
      </w:r>
      <w:r>
        <w:t>, “</w:t>
      </w:r>
      <w:r w:rsidRPr="00245F6C">
        <w:t>New WID on Power Class 2 UE for EN-DC (1 LTE FDD band +1 NR TDD band)</w:t>
      </w:r>
      <w:r>
        <w:t xml:space="preserve">,” </w:t>
      </w:r>
      <w:r w:rsidRPr="00245F6C">
        <w:t>China Unicom</w:t>
      </w:r>
      <w:r>
        <w:t>, 3GPP RAN #86, December 2019</w:t>
      </w:r>
      <w:bookmarkEnd w:id="10"/>
    </w:p>
    <w:p w14:paraId="16BC8A15" w14:textId="4C639092" w:rsidR="00245F6C" w:rsidRDefault="00245F6C" w:rsidP="00276EE4">
      <w:pPr>
        <w:pStyle w:val="EX"/>
      </w:pPr>
      <w:bookmarkStart w:id="11" w:name="_Ref47679051"/>
      <w:r w:rsidRPr="00245F6C">
        <w:t>RP-200995</w:t>
      </w:r>
      <w:r>
        <w:t>, “</w:t>
      </w:r>
      <w:r w:rsidRPr="00245F6C">
        <w:t>Rel-16 Work Item Exception for ENDC_UE_PC2_FDD_TDD</w:t>
      </w:r>
      <w:r>
        <w:t>,” China Unicom, 3GPP RAN #88e, June 2020</w:t>
      </w:r>
      <w:bookmarkEnd w:id="11"/>
    </w:p>
    <w:p w14:paraId="22ADFEAB" w14:textId="261DCE43" w:rsidR="00245F6C" w:rsidRDefault="00245F6C" w:rsidP="00276EE4">
      <w:pPr>
        <w:pStyle w:val="EX"/>
      </w:pPr>
      <w:bookmarkStart w:id="12" w:name="_Ref47679144"/>
      <w:r w:rsidRPr="00245F6C">
        <w:t>RP-201346</w:t>
      </w:r>
      <w:r>
        <w:t>, “</w:t>
      </w:r>
      <w:r w:rsidRPr="00245F6C">
        <w:t>Way forward on PC2 EN-DC FDD+TDD HPUE</w:t>
      </w:r>
      <w:r>
        <w:t>,” China Unicom, 3GPP RAN #88e, June 2020</w:t>
      </w:r>
      <w:bookmarkEnd w:id="12"/>
    </w:p>
    <w:p w14:paraId="607EA32D" w14:textId="711D8EED" w:rsidR="007D441F" w:rsidRDefault="007D441F" w:rsidP="00276EE4">
      <w:pPr>
        <w:pStyle w:val="EX"/>
      </w:pPr>
      <w:bookmarkStart w:id="13" w:name="_Ref47680621"/>
      <w:r w:rsidRPr="007D441F">
        <w:t>RP-201220</w:t>
      </w:r>
      <w:r>
        <w:t>, “</w:t>
      </w:r>
      <w:r w:rsidRPr="007D441F">
        <w:t>Proposal for PC2 EN-DC FDD+TDD HPUE</w:t>
      </w:r>
      <w:r>
        <w:t xml:space="preserve">,” </w:t>
      </w:r>
      <w:r w:rsidRPr="007D441F">
        <w:t>Verizon, Qualcomm</w:t>
      </w:r>
      <w:r>
        <w:t>, 3GPP RAN #88e, June 2020</w:t>
      </w:r>
      <w:bookmarkEnd w:id="13"/>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EF24" w14:textId="77777777" w:rsidR="004571AD" w:rsidRDefault="004571AD">
      <w:r>
        <w:separator/>
      </w:r>
    </w:p>
  </w:endnote>
  <w:endnote w:type="continuationSeparator" w:id="0">
    <w:p w14:paraId="3AA610CC" w14:textId="77777777" w:rsidR="004571AD" w:rsidRDefault="0045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Vrinda">
    <w:panose1 w:val="020B0604020202020204"/>
    <w:charset w:val="00"/>
    <w:family w:val="swiss"/>
    <w:pitch w:val="variable"/>
    <w:sig w:usb0="0001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F31D1" w:rsidRDefault="00EF31D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F31D1" w:rsidRDefault="00EF31D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0723" w14:textId="77777777" w:rsidR="004571AD" w:rsidRDefault="004571AD">
      <w:r>
        <w:separator/>
      </w:r>
    </w:p>
  </w:footnote>
  <w:footnote w:type="continuationSeparator" w:id="0">
    <w:p w14:paraId="3545EDBF" w14:textId="77777777" w:rsidR="004571AD" w:rsidRDefault="0045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F31D1" w:rsidRDefault="00EF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F31D1" w:rsidRDefault="00EF3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6683B"/>
    <w:multiLevelType w:val="hybridMultilevel"/>
    <w:tmpl w:val="9FCE25FC"/>
    <w:lvl w:ilvl="0" w:tplc="67B2A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3"/>
  </w:num>
  <w:num w:numId="7">
    <w:abstractNumId w:val="6"/>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5F9"/>
    <w:rsid w:val="00054A22"/>
    <w:rsid w:val="00062023"/>
    <w:rsid w:val="000644EB"/>
    <w:rsid w:val="000655A6"/>
    <w:rsid w:val="0007374F"/>
    <w:rsid w:val="000741FE"/>
    <w:rsid w:val="00075997"/>
    <w:rsid w:val="00080512"/>
    <w:rsid w:val="00081771"/>
    <w:rsid w:val="00087C63"/>
    <w:rsid w:val="000A0C05"/>
    <w:rsid w:val="000A365D"/>
    <w:rsid w:val="000A68F3"/>
    <w:rsid w:val="000B1FA3"/>
    <w:rsid w:val="000C47C3"/>
    <w:rsid w:val="000C5869"/>
    <w:rsid w:val="000C7305"/>
    <w:rsid w:val="000D58AB"/>
    <w:rsid w:val="000D65CA"/>
    <w:rsid w:val="000E4B59"/>
    <w:rsid w:val="000F7550"/>
    <w:rsid w:val="001018E4"/>
    <w:rsid w:val="00104BC6"/>
    <w:rsid w:val="00114E2C"/>
    <w:rsid w:val="001247AA"/>
    <w:rsid w:val="001265D9"/>
    <w:rsid w:val="00126CA9"/>
    <w:rsid w:val="001300D2"/>
    <w:rsid w:val="00132538"/>
    <w:rsid w:val="00133525"/>
    <w:rsid w:val="001462A8"/>
    <w:rsid w:val="00162E33"/>
    <w:rsid w:val="00164AF9"/>
    <w:rsid w:val="00165EE6"/>
    <w:rsid w:val="001708A8"/>
    <w:rsid w:val="001729FA"/>
    <w:rsid w:val="00182CE6"/>
    <w:rsid w:val="00194772"/>
    <w:rsid w:val="001A1168"/>
    <w:rsid w:val="001A4C42"/>
    <w:rsid w:val="001C21C3"/>
    <w:rsid w:val="001D02C2"/>
    <w:rsid w:val="001E4F49"/>
    <w:rsid w:val="001E6EB2"/>
    <w:rsid w:val="001F0C1D"/>
    <w:rsid w:val="001F1132"/>
    <w:rsid w:val="001F168B"/>
    <w:rsid w:val="001F1EBD"/>
    <w:rsid w:val="0020232D"/>
    <w:rsid w:val="00212BAE"/>
    <w:rsid w:val="00230DA7"/>
    <w:rsid w:val="00231873"/>
    <w:rsid w:val="002347A2"/>
    <w:rsid w:val="002427D9"/>
    <w:rsid w:val="00245F6C"/>
    <w:rsid w:val="00247926"/>
    <w:rsid w:val="00260CC0"/>
    <w:rsid w:val="002675F0"/>
    <w:rsid w:val="00276EE4"/>
    <w:rsid w:val="00280675"/>
    <w:rsid w:val="00294E47"/>
    <w:rsid w:val="002A52AA"/>
    <w:rsid w:val="002B6339"/>
    <w:rsid w:val="002E00EE"/>
    <w:rsid w:val="002E555B"/>
    <w:rsid w:val="002E60F7"/>
    <w:rsid w:val="002F6B48"/>
    <w:rsid w:val="00306EC2"/>
    <w:rsid w:val="00314FF2"/>
    <w:rsid w:val="003172DC"/>
    <w:rsid w:val="003251B9"/>
    <w:rsid w:val="00330A27"/>
    <w:rsid w:val="00331EE3"/>
    <w:rsid w:val="0034052F"/>
    <w:rsid w:val="0034070F"/>
    <w:rsid w:val="0035462D"/>
    <w:rsid w:val="00355119"/>
    <w:rsid w:val="003765B8"/>
    <w:rsid w:val="003856BE"/>
    <w:rsid w:val="003A0483"/>
    <w:rsid w:val="003A5049"/>
    <w:rsid w:val="003C3971"/>
    <w:rsid w:val="003E2F3F"/>
    <w:rsid w:val="003E7753"/>
    <w:rsid w:val="00405DE0"/>
    <w:rsid w:val="0040718D"/>
    <w:rsid w:val="00417E45"/>
    <w:rsid w:val="00420688"/>
    <w:rsid w:val="00423334"/>
    <w:rsid w:val="00425DC6"/>
    <w:rsid w:val="004345EC"/>
    <w:rsid w:val="004404A5"/>
    <w:rsid w:val="00441776"/>
    <w:rsid w:val="00442C3E"/>
    <w:rsid w:val="00447857"/>
    <w:rsid w:val="004516C7"/>
    <w:rsid w:val="004571AD"/>
    <w:rsid w:val="00464BED"/>
    <w:rsid w:val="00480EE7"/>
    <w:rsid w:val="004826A9"/>
    <w:rsid w:val="00494877"/>
    <w:rsid w:val="004B5392"/>
    <w:rsid w:val="004C1601"/>
    <w:rsid w:val="004D3578"/>
    <w:rsid w:val="004E213A"/>
    <w:rsid w:val="004E3E37"/>
    <w:rsid w:val="004F0988"/>
    <w:rsid w:val="004F2142"/>
    <w:rsid w:val="004F3340"/>
    <w:rsid w:val="004F3E3D"/>
    <w:rsid w:val="004F6BF8"/>
    <w:rsid w:val="004F6FF8"/>
    <w:rsid w:val="00515AE4"/>
    <w:rsid w:val="00522A94"/>
    <w:rsid w:val="0053388B"/>
    <w:rsid w:val="00535773"/>
    <w:rsid w:val="00543E6C"/>
    <w:rsid w:val="005441F6"/>
    <w:rsid w:val="005619F8"/>
    <w:rsid w:val="0056236F"/>
    <w:rsid w:val="00565087"/>
    <w:rsid w:val="00572E14"/>
    <w:rsid w:val="00592192"/>
    <w:rsid w:val="005973BE"/>
    <w:rsid w:val="005A093B"/>
    <w:rsid w:val="005A3830"/>
    <w:rsid w:val="005A5986"/>
    <w:rsid w:val="005C5495"/>
    <w:rsid w:val="005D1F6E"/>
    <w:rsid w:val="005D2E01"/>
    <w:rsid w:val="005D4385"/>
    <w:rsid w:val="005D7526"/>
    <w:rsid w:val="005E587F"/>
    <w:rsid w:val="005E69AE"/>
    <w:rsid w:val="005F04AF"/>
    <w:rsid w:val="005F529C"/>
    <w:rsid w:val="005F5987"/>
    <w:rsid w:val="00602A59"/>
    <w:rsid w:val="00602AEA"/>
    <w:rsid w:val="00607E3C"/>
    <w:rsid w:val="00614FDF"/>
    <w:rsid w:val="00623A42"/>
    <w:rsid w:val="0062423F"/>
    <w:rsid w:val="006246A7"/>
    <w:rsid w:val="0062595A"/>
    <w:rsid w:val="0063543D"/>
    <w:rsid w:val="00647114"/>
    <w:rsid w:val="00655891"/>
    <w:rsid w:val="00667164"/>
    <w:rsid w:val="00690481"/>
    <w:rsid w:val="006A323F"/>
    <w:rsid w:val="006A6BD0"/>
    <w:rsid w:val="006B30D0"/>
    <w:rsid w:val="006B36D4"/>
    <w:rsid w:val="006C3D95"/>
    <w:rsid w:val="006C6D1D"/>
    <w:rsid w:val="006E3C1C"/>
    <w:rsid w:val="006E5C86"/>
    <w:rsid w:val="006E73A3"/>
    <w:rsid w:val="00706528"/>
    <w:rsid w:val="007071A1"/>
    <w:rsid w:val="0071280F"/>
    <w:rsid w:val="00712A2B"/>
    <w:rsid w:val="00713C44"/>
    <w:rsid w:val="007309C9"/>
    <w:rsid w:val="007317A7"/>
    <w:rsid w:val="00734544"/>
    <w:rsid w:val="00734A5B"/>
    <w:rsid w:val="0074026F"/>
    <w:rsid w:val="007429F6"/>
    <w:rsid w:val="00744E76"/>
    <w:rsid w:val="00745D32"/>
    <w:rsid w:val="007469C7"/>
    <w:rsid w:val="00752198"/>
    <w:rsid w:val="00752CCE"/>
    <w:rsid w:val="00753881"/>
    <w:rsid w:val="00756E85"/>
    <w:rsid w:val="00774DA4"/>
    <w:rsid w:val="00781F0F"/>
    <w:rsid w:val="00782EF3"/>
    <w:rsid w:val="00793DF9"/>
    <w:rsid w:val="00795206"/>
    <w:rsid w:val="007B600E"/>
    <w:rsid w:val="007D441F"/>
    <w:rsid w:val="007F0F4A"/>
    <w:rsid w:val="007F27A5"/>
    <w:rsid w:val="0080104E"/>
    <w:rsid w:val="008028A4"/>
    <w:rsid w:val="00803BF8"/>
    <w:rsid w:val="00815191"/>
    <w:rsid w:val="00816B06"/>
    <w:rsid w:val="00820B25"/>
    <w:rsid w:val="0082139C"/>
    <w:rsid w:val="00823986"/>
    <w:rsid w:val="00830747"/>
    <w:rsid w:val="008330B3"/>
    <w:rsid w:val="008538C3"/>
    <w:rsid w:val="00855D88"/>
    <w:rsid w:val="008768CA"/>
    <w:rsid w:val="00887CC4"/>
    <w:rsid w:val="008A00F6"/>
    <w:rsid w:val="008A0D99"/>
    <w:rsid w:val="008B1DED"/>
    <w:rsid w:val="008B4F0F"/>
    <w:rsid w:val="008B5422"/>
    <w:rsid w:val="008C384C"/>
    <w:rsid w:val="008D4A90"/>
    <w:rsid w:val="008E3F25"/>
    <w:rsid w:val="008E7986"/>
    <w:rsid w:val="008E7A16"/>
    <w:rsid w:val="00901B1B"/>
    <w:rsid w:val="0090271F"/>
    <w:rsid w:val="00902E23"/>
    <w:rsid w:val="009114D7"/>
    <w:rsid w:val="0091348E"/>
    <w:rsid w:val="00917CCB"/>
    <w:rsid w:val="00942EC2"/>
    <w:rsid w:val="00975B25"/>
    <w:rsid w:val="009767A4"/>
    <w:rsid w:val="00997130"/>
    <w:rsid w:val="00997C58"/>
    <w:rsid w:val="009B0E31"/>
    <w:rsid w:val="009B2322"/>
    <w:rsid w:val="009F0E8D"/>
    <w:rsid w:val="009F37B7"/>
    <w:rsid w:val="009F5E43"/>
    <w:rsid w:val="009F6A53"/>
    <w:rsid w:val="00A10F02"/>
    <w:rsid w:val="00A164B4"/>
    <w:rsid w:val="00A17802"/>
    <w:rsid w:val="00A26956"/>
    <w:rsid w:val="00A41E85"/>
    <w:rsid w:val="00A53724"/>
    <w:rsid w:val="00A67699"/>
    <w:rsid w:val="00A73129"/>
    <w:rsid w:val="00A817A7"/>
    <w:rsid w:val="00A82346"/>
    <w:rsid w:val="00A826A1"/>
    <w:rsid w:val="00A92BA1"/>
    <w:rsid w:val="00AA55CB"/>
    <w:rsid w:val="00AC6BC6"/>
    <w:rsid w:val="00AD084F"/>
    <w:rsid w:val="00AD5712"/>
    <w:rsid w:val="00AE3797"/>
    <w:rsid w:val="00AF5FF7"/>
    <w:rsid w:val="00AF61D2"/>
    <w:rsid w:val="00B0333C"/>
    <w:rsid w:val="00B132B8"/>
    <w:rsid w:val="00B15449"/>
    <w:rsid w:val="00B169CD"/>
    <w:rsid w:val="00B2203B"/>
    <w:rsid w:val="00B242EC"/>
    <w:rsid w:val="00B2481F"/>
    <w:rsid w:val="00B55C02"/>
    <w:rsid w:val="00B5743B"/>
    <w:rsid w:val="00B76B17"/>
    <w:rsid w:val="00B93086"/>
    <w:rsid w:val="00BA19ED"/>
    <w:rsid w:val="00BA300B"/>
    <w:rsid w:val="00BA4B8D"/>
    <w:rsid w:val="00BC0F7D"/>
    <w:rsid w:val="00BC4416"/>
    <w:rsid w:val="00BD401E"/>
    <w:rsid w:val="00BD658E"/>
    <w:rsid w:val="00BE3255"/>
    <w:rsid w:val="00BF128E"/>
    <w:rsid w:val="00C03EB3"/>
    <w:rsid w:val="00C14820"/>
    <w:rsid w:val="00C1496A"/>
    <w:rsid w:val="00C15F0F"/>
    <w:rsid w:val="00C33079"/>
    <w:rsid w:val="00C40ED3"/>
    <w:rsid w:val="00C43826"/>
    <w:rsid w:val="00C45231"/>
    <w:rsid w:val="00C57F61"/>
    <w:rsid w:val="00C65899"/>
    <w:rsid w:val="00C663E3"/>
    <w:rsid w:val="00C724D1"/>
    <w:rsid w:val="00C72833"/>
    <w:rsid w:val="00C74454"/>
    <w:rsid w:val="00C80F1D"/>
    <w:rsid w:val="00C93F40"/>
    <w:rsid w:val="00CA3D0C"/>
    <w:rsid w:val="00CB76BF"/>
    <w:rsid w:val="00CC0E34"/>
    <w:rsid w:val="00CC1A6C"/>
    <w:rsid w:val="00CF20E3"/>
    <w:rsid w:val="00CF7296"/>
    <w:rsid w:val="00D309CC"/>
    <w:rsid w:val="00D42704"/>
    <w:rsid w:val="00D46431"/>
    <w:rsid w:val="00D56A52"/>
    <w:rsid w:val="00D57972"/>
    <w:rsid w:val="00D675A9"/>
    <w:rsid w:val="00D738D6"/>
    <w:rsid w:val="00D755EB"/>
    <w:rsid w:val="00D765C7"/>
    <w:rsid w:val="00D87E00"/>
    <w:rsid w:val="00D90D8F"/>
    <w:rsid w:val="00D9134D"/>
    <w:rsid w:val="00D92ACE"/>
    <w:rsid w:val="00D9381C"/>
    <w:rsid w:val="00DA05F6"/>
    <w:rsid w:val="00DA7A03"/>
    <w:rsid w:val="00DB0331"/>
    <w:rsid w:val="00DB1818"/>
    <w:rsid w:val="00DB7CB6"/>
    <w:rsid w:val="00DC2F94"/>
    <w:rsid w:val="00DC309B"/>
    <w:rsid w:val="00DC4DA2"/>
    <w:rsid w:val="00DC6353"/>
    <w:rsid w:val="00DD275E"/>
    <w:rsid w:val="00DD4C17"/>
    <w:rsid w:val="00DE7963"/>
    <w:rsid w:val="00DE7EB0"/>
    <w:rsid w:val="00DF2B1F"/>
    <w:rsid w:val="00DF6189"/>
    <w:rsid w:val="00DF62CD"/>
    <w:rsid w:val="00E16509"/>
    <w:rsid w:val="00E258E3"/>
    <w:rsid w:val="00E275EE"/>
    <w:rsid w:val="00E31A3B"/>
    <w:rsid w:val="00E44582"/>
    <w:rsid w:val="00E47D65"/>
    <w:rsid w:val="00E52814"/>
    <w:rsid w:val="00E72324"/>
    <w:rsid w:val="00E72ABE"/>
    <w:rsid w:val="00E77645"/>
    <w:rsid w:val="00EC0460"/>
    <w:rsid w:val="00EC2046"/>
    <w:rsid w:val="00EC24B1"/>
    <w:rsid w:val="00EC4A25"/>
    <w:rsid w:val="00ED060C"/>
    <w:rsid w:val="00EE0A7F"/>
    <w:rsid w:val="00EE271A"/>
    <w:rsid w:val="00EE40A1"/>
    <w:rsid w:val="00EE5AA7"/>
    <w:rsid w:val="00EE7E5C"/>
    <w:rsid w:val="00EF110F"/>
    <w:rsid w:val="00EF31D1"/>
    <w:rsid w:val="00F01FD9"/>
    <w:rsid w:val="00F025A2"/>
    <w:rsid w:val="00F04712"/>
    <w:rsid w:val="00F11A80"/>
    <w:rsid w:val="00F1326C"/>
    <w:rsid w:val="00F21311"/>
    <w:rsid w:val="00F22EC7"/>
    <w:rsid w:val="00F24544"/>
    <w:rsid w:val="00F325C8"/>
    <w:rsid w:val="00F4314B"/>
    <w:rsid w:val="00F62AEB"/>
    <w:rsid w:val="00F63457"/>
    <w:rsid w:val="00F653B8"/>
    <w:rsid w:val="00F70647"/>
    <w:rsid w:val="00F8674C"/>
    <w:rsid w:val="00F907DC"/>
    <w:rsid w:val="00F93FC3"/>
    <w:rsid w:val="00FA1266"/>
    <w:rsid w:val="00FA442A"/>
    <w:rsid w:val="00FA63FF"/>
    <w:rsid w:val="00FC1192"/>
    <w:rsid w:val="00FD0C9B"/>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0C5869"/>
    <w:pPr>
      <w:keepNext/>
      <w:spacing w:before="60" w:after="60"/>
    </w:pPr>
    <w:rPr>
      <w:b/>
      <w:bCs/>
      <w:sz w:val="16"/>
      <w:szCs w:val="24"/>
      <w:lang w:val="en-U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0C5869"/>
    <w:rPr>
      <w:b/>
      <w:bCs/>
      <w:sz w:val="16"/>
      <w:szCs w:val="24"/>
      <w:lang w:val="en-US" w:eastAsia="en-US"/>
    </w:rPr>
  </w:style>
  <w:style w:type="paragraph" w:styleId="NormalWeb">
    <w:name w:val="Normal (Web)"/>
    <w:basedOn w:val="Normal"/>
    <w:rsid w:val="000F7550"/>
    <w:rPr>
      <w:sz w:val="24"/>
      <w:szCs w:val="24"/>
    </w:rPr>
  </w:style>
  <w:style w:type="character" w:customStyle="1" w:styleId="THChar">
    <w:name w:val="TH Char"/>
    <w:link w:val="TH"/>
    <w:qFormat/>
    <w:rsid w:val="00CC0E34"/>
    <w:rPr>
      <w:rFonts w:ascii="Arial" w:hAnsi="Arial"/>
      <w:b/>
      <w:lang w:eastAsia="en-US"/>
    </w:rPr>
  </w:style>
  <w:style w:type="character" w:customStyle="1" w:styleId="TANChar">
    <w:name w:val="TAN Char"/>
    <w:link w:val="TAN"/>
    <w:qFormat/>
    <w:rsid w:val="00CC0E34"/>
    <w:rPr>
      <w:rFonts w:ascii="Arial" w:hAnsi="Arial"/>
      <w:sz w:val="18"/>
      <w:lang w:eastAsia="en-US"/>
    </w:rPr>
  </w:style>
  <w:style w:type="paragraph" w:styleId="Index1">
    <w:name w:val="index 1"/>
    <w:basedOn w:val="Normal"/>
    <w:rsid w:val="00AA55CB"/>
    <w:pPr>
      <w:keepLines/>
      <w:overflowPunct w:val="0"/>
      <w:autoSpaceDE w:val="0"/>
      <w:autoSpaceDN w:val="0"/>
      <w:adjustRightInd w:val="0"/>
      <w:spacing w:after="0"/>
      <w:textAlignment w:val="baseline"/>
    </w:pPr>
    <w:rPr>
      <w:rFonts w:eastAsia="DengXian"/>
      <w:lang w:eastAsia="en-GB"/>
    </w:rPr>
  </w:style>
  <w:style w:type="character" w:customStyle="1" w:styleId="EQChar">
    <w:name w:val="EQ Char"/>
    <w:link w:val="EQ"/>
    <w:qFormat/>
    <w:rsid w:val="00D765C7"/>
    <w:rPr>
      <w:noProof/>
      <w:lang w:eastAsia="en-US"/>
    </w:rPr>
  </w:style>
  <w:style w:type="character" w:customStyle="1" w:styleId="NOChar">
    <w:name w:val="NO Char"/>
    <w:link w:val="NO"/>
    <w:qFormat/>
    <w:rsid w:val="00D765C7"/>
    <w:rPr>
      <w:lang w:eastAsia="en-US"/>
    </w:rPr>
  </w:style>
  <w:style w:type="character" w:customStyle="1" w:styleId="B1Char">
    <w:name w:val="B1 Char"/>
    <w:link w:val="B1"/>
    <w:locked/>
    <w:rsid w:val="00D765C7"/>
    <w:rPr>
      <w:lang w:eastAsia="en-US"/>
    </w:rPr>
  </w:style>
  <w:style w:type="character" w:customStyle="1" w:styleId="B2Char">
    <w:name w:val="B2 Char"/>
    <w:link w:val="B2"/>
    <w:qFormat/>
    <w:locked/>
    <w:rsid w:val="00D765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5660">
      <w:bodyDiv w:val="1"/>
      <w:marLeft w:val="0"/>
      <w:marRight w:val="0"/>
      <w:marTop w:val="0"/>
      <w:marBottom w:val="0"/>
      <w:divBdr>
        <w:top w:val="none" w:sz="0" w:space="0" w:color="auto"/>
        <w:left w:val="none" w:sz="0" w:space="0" w:color="auto"/>
        <w:bottom w:val="none" w:sz="0" w:space="0" w:color="auto"/>
        <w:right w:val="none" w:sz="0" w:space="0" w:color="auto"/>
      </w:divBdr>
    </w:div>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47957929">
      <w:bodyDiv w:val="1"/>
      <w:marLeft w:val="0"/>
      <w:marRight w:val="0"/>
      <w:marTop w:val="0"/>
      <w:marBottom w:val="0"/>
      <w:divBdr>
        <w:top w:val="none" w:sz="0" w:space="0" w:color="auto"/>
        <w:left w:val="none" w:sz="0" w:space="0" w:color="auto"/>
        <w:bottom w:val="none" w:sz="0" w:space="0" w:color="auto"/>
        <w:right w:val="none" w:sz="0" w:space="0" w:color="auto"/>
      </w:divBdr>
      <w:divsChild>
        <w:div w:id="1436249570">
          <w:marLeft w:val="0"/>
          <w:marRight w:val="0"/>
          <w:marTop w:val="0"/>
          <w:marBottom w:val="0"/>
          <w:divBdr>
            <w:top w:val="none" w:sz="0" w:space="0" w:color="auto"/>
            <w:left w:val="none" w:sz="0" w:space="0" w:color="auto"/>
            <w:bottom w:val="none" w:sz="0" w:space="0" w:color="auto"/>
            <w:right w:val="none" w:sz="0" w:space="0" w:color="auto"/>
          </w:divBdr>
          <w:divsChild>
            <w:div w:id="1635526934">
              <w:marLeft w:val="0"/>
              <w:marRight w:val="0"/>
              <w:marTop w:val="0"/>
              <w:marBottom w:val="0"/>
              <w:divBdr>
                <w:top w:val="none" w:sz="0" w:space="0" w:color="auto"/>
                <w:left w:val="none" w:sz="0" w:space="0" w:color="auto"/>
                <w:bottom w:val="none" w:sz="0" w:space="0" w:color="auto"/>
                <w:right w:val="none" w:sz="0" w:space="0" w:color="auto"/>
              </w:divBdr>
              <w:divsChild>
                <w:div w:id="959645993">
                  <w:marLeft w:val="0"/>
                  <w:marRight w:val="0"/>
                  <w:marTop w:val="0"/>
                  <w:marBottom w:val="0"/>
                  <w:divBdr>
                    <w:top w:val="none" w:sz="0" w:space="0" w:color="auto"/>
                    <w:left w:val="none" w:sz="0" w:space="0" w:color="auto"/>
                    <w:bottom w:val="none" w:sz="0" w:space="0" w:color="auto"/>
                    <w:right w:val="none" w:sz="0" w:space="0" w:color="auto"/>
                  </w:divBdr>
                  <w:divsChild>
                    <w:div w:id="195482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85002571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277713021">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475491012">
      <w:bodyDiv w:val="1"/>
      <w:marLeft w:val="0"/>
      <w:marRight w:val="0"/>
      <w:marTop w:val="0"/>
      <w:marBottom w:val="0"/>
      <w:divBdr>
        <w:top w:val="none" w:sz="0" w:space="0" w:color="auto"/>
        <w:left w:val="none" w:sz="0" w:space="0" w:color="auto"/>
        <w:bottom w:val="none" w:sz="0" w:space="0" w:color="auto"/>
        <w:right w:val="none" w:sz="0" w:space="0" w:color="auto"/>
      </w:divBdr>
    </w:div>
    <w:div w:id="1693533310">
      <w:bodyDiv w:val="1"/>
      <w:marLeft w:val="0"/>
      <w:marRight w:val="0"/>
      <w:marTop w:val="0"/>
      <w:marBottom w:val="0"/>
      <w:divBdr>
        <w:top w:val="none" w:sz="0" w:space="0" w:color="auto"/>
        <w:left w:val="none" w:sz="0" w:space="0" w:color="auto"/>
        <w:bottom w:val="none" w:sz="0" w:space="0" w:color="auto"/>
        <w:right w:val="none" w:sz="0" w:space="0" w:color="auto"/>
      </w:divBdr>
    </w:div>
    <w:div w:id="1778330084">
      <w:bodyDiv w:val="1"/>
      <w:marLeft w:val="0"/>
      <w:marRight w:val="0"/>
      <w:marTop w:val="0"/>
      <w:marBottom w:val="0"/>
      <w:divBdr>
        <w:top w:val="none" w:sz="0" w:space="0" w:color="auto"/>
        <w:left w:val="none" w:sz="0" w:space="0" w:color="auto"/>
        <w:bottom w:val="none" w:sz="0" w:space="0" w:color="auto"/>
        <w:right w:val="none" w:sz="0" w:space="0" w:color="auto"/>
      </w:divBdr>
      <w:divsChild>
        <w:div w:id="870729872">
          <w:marLeft w:val="0"/>
          <w:marRight w:val="0"/>
          <w:marTop w:val="0"/>
          <w:marBottom w:val="0"/>
          <w:divBdr>
            <w:top w:val="none" w:sz="0" w:space="0" w:color="auto"/>
            <w:left w:val="none" w:sz="0" w:space="0" w:color="auto"/>
            <w:bottom w:val="none" w:sz="0" w:space="0" w:color="auto"/>
            <w:right w:val="none" w:sz="0" w:space="0" w:color="auto"/>
          </w:divBdr>
          <w:divsChild>
            <w:div w:id="1176768044">
              <w:marLeft w:val="0"/>
              <w:marRight w:val="0"/>
              <w:marTop w:val="0"/>
              <w:marBottom w:val="0"/>
              <w:divBdr>
                <w:top w:val="none" w:sz="0" w:space="0" w:color="auto"/>
                <w:left w:val="none" w:sz="0" w:space="0" w:color="auto"/>
                <w:bottom w:val="none" w:sz="0" w:space="0" w:color="auto"/>
                <w:right w:val="none" w:sz="0" w:space="0" w:color="auto"/>
              </w:divBdr>
              <w:divsChild>
                <w:div w:id="1462382517">
                  <w:marLeft w:val="0"/>
                  <w:marRight w:val="0"/>
                  <w:marTop w:val="0"/>
                  <w:marBottom w:val="0"/>
                  <w:divBdr>
                    <w:top w:val="none" w:sz="0" w:space="0" w:color="auto"/>
                    <w:left w:val="none" w:sz="0" w:space="0" w:color="auto"/>
                    <w:bottom w:val="none" w:sz="0" w:space="0" w:color="auto"/>
                    <w:right w:val="none" w:sz="0" w:space="0" w:color="auto"/>
                  </w:divBdr>
                  <w:divsChild>
                    <w:div w:id="1208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 w:id="197972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E050-8F26-ED49-B9C3-144015A5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275</TotalTime>
  <Pages>4</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58</cp:revision>
  <cp:lastPrinted>2019-02-25T11:05:00Z</cp:lastPrinted>
  <dcterms:created xsi:type="dcterms:W3CDTF">2020-08-03T12:32:00Z</dcterms:created>
  <dcterms:modified xsi:type="dcterms:W3CDTF">2020-08-07T15:33:00Z</dcterms:modified>
  <cp:category/>
</cp:coreProperties>
</file>